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9994.xml.htm"/>
      <w:bookmarkStart w:id="1" w:name="kswkform4_17913199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Kashani Ali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SERVE ROBOTICS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1360 BAYPORT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Serve Robotics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3,577,373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16,070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("RSU"). The RSU will vest as to 1/7th of the total number of shares on January 1, 2027 and 1/7th of the total number of shares on the same day of each quarter thereafter, subject to the Reporting Person's continuous service status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Jongmin Char, as attorney-in-fact for Ali Kashani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89" TargetMode="External"/><Relationship Id="rId5" Type="http://schemas.openxmlformats.org/officeDocument/2006/relationships/hyperlink" Target="http://www.sec.gov/cgi-bin/browse-edgar?action=getcompany&amp;CIK=00018324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3430</Characters>
  <CharactersWithSpaces>3994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