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208734.xml.htm"/>
      <w:bookmarkStart w:id="1" w:name="kswkform4_17812087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Kashani Ali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SERVE ROBOTICS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Serve Robotics Inc. /DE/</w:t>
              </w:r>
            </w:hyperlink>
            <w:r>
              <w:rPr/>
              <w:t xml:space="preserve"> [ </w:t>
            </w:r>
            <w:r>
              <w:rPr>
                <w:rFonts w:ascii="Times;serif" w:hAnsi="Times;serif"/>
                <w:color w:val="0000FF"/>
                <w:sz w:val="24"/>
                <w:shd w:fill="FFFFFF" w:val="clear"/>
              </w:rPr>
              <w:t>SERV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69"/>
        <w:gridCol w:w="449"/>
        <w:gridCol w:w="665"/>
        <w:gridCol w:w="1272"/>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15,885</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7.24</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3,278,091</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16,070</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the Issuer's common stock sold to satisfy tax withholding obligations relating to the acquisition of shares of the Issuer's common stock in connection with the settlement of the vested portion of RSUs pursuant to provisions of a restricted stock unit agreement by and between the Issuer and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Jongmin Char, as attorney-in-fact for Ali Kashani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3489" TargetMode="External"/><Relationship Id="rId5" Type="http://schemas.openxmlformats.org/officeDocument/2006/relationships/hyperlink" Target="http://www.sec.gov/cgi-bin/browse-edgar?action=getcompany&amp;CIK=00018324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628</Words>
  <Characters>3402</Characters>
  <CharactersWithSpaces>3965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