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6927-s8_serve.htm"/>
      <w:bookmarkStart w:id="1" w:name="ksea0306927s8_serve"/>
      <w:bookmarkEnd w:id="0"/>
      <w:bookmarkEnd w:id="1"/>
      <w:r>
        <w:rPr>
          <w:b/>
        </w:rPr>
        <w:t>As filed with the Securities and Exchange Commission on October 1,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S-8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SERVE ROBOTICS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28" w:type="dxa"/>
          <w:right w:w="0" w:type="dxa"/>
        </w:tblCellMar>
      </w:tblPr>
      <w:tblGrid>
        <w:gridCol w:w="2720"/>
        <w:gridCol w:w="60"/>
        <w:gridCol w:w="1610"/>
      </w:tblGrid>
      <w:tr>
        <w:trPr/>
        <w:tc>
          <w:tcPr>
            <w:tcW w:w="272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85-3844872</w:t>
            </w:r>
          </w:p>
        </w:tc>
      </w:tr>
      <w:tr>
        <w:trPr/>
        <w:tc>
          <w:tcPr>
            <w:tcW w:w="272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1360 Bayport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Carlos, California 94070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Serve Robotics Inc. 2023 Equity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 Kashani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1360 Bayport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Carlos, California 94070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(818) 860-1352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Albert W. Vanderlaan,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Orrick Herrington &amp; Sutcliffe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 Berkeley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880-1800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495"/>
        <w:jc w:val="both"/>
        <w:rPr/>
      </w:pPr>
      <w:r>
        <w:rPr>
          <w:rFonts w:ascii="Times New Roman;Times;Serif" w:hAnsi="Times New Roman;Times;Serif"/>
          <w:b w:val="false"/>
          <w:i w:val="false"/>
          <w:caps w:val="false"/>
          <w:smallCaps w:val="false"/>
          <w:sz w:val="20"/>
        </w:rPr>
        <w:t>Pursuant to General Instruction E of Form S-8, Serve Robotics Inc.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is filing this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to register an additional 4,131,980 shares of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under the Serve Robotics Inc. 2023 Equity Incentive Plan, as amended by Amendments to the Serve Robotics Inc. 2023 Equity Incentive Plan dated July 22, 2024 and June 12, 2025 (as amended, the “</w:t>
      </w:r>
      <w:r>
        <w:rPr>
          <w:rFonts w:ascii="Times New Roman;Times;Serif" w:hAnsi="Times New Roman;Times;Serif"/>
          <w:b w:val="false"/>
          <w:i w:val="false"/>
          <w:caps w:val="false"/>
          <w:smallCaps w:val="false"/>
          <w:sz w:val="20"/>
          <w:u w:val="single"/>
        </w:rPr>
        <w:t>2023 Plan</w:t>
      </w:r>
      <w:r>
        <w:rPr>
          <w:rFonts w:ascii="Times New Roman;Times;Serif" w:hAnsi="Times New Roman;Times;Serif"/>
          <w:b w:val="false"/>
          <w:i w:val="false"/>
          <w:caps w:val="false"/>
          <w:smallCaps w:val="false"/>
          <w:sz w:val="20"/>
        </w:rPr>
        <w:t xml:space="preserve">”), pursuant to the provisions of the 2023 Plan providing for an increase in the number of shares of common stock reserved and available for issuance under the 2023 Plan on October 1, 2026. This Registration Statement hereby incorporates by reference the contents of the Registrant’s (i)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333-277549) filed with the Commission on February 29, 2024, (ii) registration statement on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333-281083) filed with the Commission on July 29, 2024, (iii) registration statement on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333-282562) filed with the Commission on October 9, 2024, (iv) registration statement on </w:t>
      </w:r>
      <w:hyperlink r:id="rId5">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333-288193) filed with the Commission on June 20, 2025, and (v) registration statement on </w:t>
      </w:r>
      <w:hyperlink r:id="rId6">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333-290861) filed with the Commission on October 14, 2025.</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4775"/>
        <w:gridCol w:w="60"/>
        <w:gridCol w:w="725"/>
        <w:gridCol w:w="60"/>
        <w:gridCol w:w="757"/>
        <w:gridCol w:w="60"/>
        <w:gridCol w:w="920"/>
        <w:gridCol w:w="60"/>
        <w:gridCol w:w="1126"/>
        <w:gridCol w:w="60"/>
        <w:gridCol w:w="817"/>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center"/>
              <w:rPr/>
            </w:pPr>
            <w:r>
              <w:rPr/>
              <w:t> </w:t>
            </w:r>
          </w:p>
        </w:tc>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08"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c>
          <w:tcPr>
            <w:tcW w:w="60" w:type="dxa"/>
            <w:tcBorders/>
            <w:vAlign w:val="center"/>
          </w:tcPr>
          <w:p>
            <w:pPr>
              <w:pStyle w:val="TableContents"/>
              <w:bidi w:val="0"/>
              <w:spacing w:before="0" w:after="283"/>
              <w:jc w:val="center"/>
              <w:rPr/>
            </w:pPr>
            <w:r>
              <w:rPr/>
              <w:t> </w:t>
            </w:r>
          </w:p>
        </w:tc>
        <w:tc>
          <w:tcPr>
            <w:tcW w:w="81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w:t>
            </w:r>
          </w:p>
        </w:tc>
      </w:tr>
      <w:tr>
        <w:trPr/>
        <w:tc>
          <w:tcPr>
            <w:tcW w:w="7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47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283"/>
              <w:jc w:val="center"/>
              <w:rPr/>
            </w:pPr>
            <w:r>
              <w:rPr/>
              <w:t> </w:t>
            </w:r>
          </w:p>
        </w:tc>
        <w:tc>
          <w:tcPr>
            <w:tcW w:w="7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283"/>
              <w:jc w:val="center"/>
              <w:rPr/>
            </w:pPr>
            <w:r>
              <w:rPr/>
              <w:t> </w:t>
            </w:r>
          </w:p>
        </w:tc>
        <w:tc>
          <w:tcPr>
            <w:tcW w:w="75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283"/>
              <w:jc w:val="center"/>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center"/>
              <w:rPr/>
            </w:pPr>
            <w:r>
              <w:rPr/>
              <w:t> </w:t>
            </w:r>
          </w:p>
        </w:tc>
        <w:tc>
          <w:tcPr>
            <w:tcW w:w="112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60" w:type="dxa"/>
            <w:tcBorders/>
            <w:vAlign w:val="center"/>
          </w:tcPr>
          <w:p>
            <w:pPr>
              <w:pStyle w:val="TableContents"/>
              <w:bidi w:val="0"/>
              <w:spacing w:before="0" w:after="283"/>
              <w:jc w:val="center"/>
              <w:rPr/>
            </w:pPr>
            <w:r>
              <w:rPr/>
              <w:t> </w:t>
            </w:r>
          </w:p>
        </w:tc>
        <w:tc>
          <w:tcPr>
            <w:tcW w:w="81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hyperlink w:anchor="ea030692701ex5-1.htm">
              <w:r>
                <w:rPr>
                  <w:rStyle w:val="InternetLink"/>
                  <w:rFonts w:ascii="Times New Roman;Times;Serif" w:hAnsi="Times New Roman;Times;Serif"/>
                  <w:sz w:val="20"/>
                </w:rPr>
                <w:t>Opinion and Consent of Orrick, Herrington &amp; Sutcliffe LLP.</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hyperlink w:anchor="ea030692701ex23-1.htm">
              <w:r>
                <w:rPr>
                  <w:rStyle w:val="InternetLink"/>
                  <w:rFonts w:ascii="Times New Roman;Times;Serif" w:hAnsi="Times New Roman;Times;Serif"/>
                  <w:sz w:val="20"/>
                </w:rPr>
                <w:t>Consent of dbbmckennon, an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hyperlink w:anchor="ea030692701ex23-2.htm">
              <w:r>
                <w:rPr>
                  <w:rStyle w:val="InternetLink"/>
                  <w:rFonts w:ascii="Times New Roman;Times;Serif" w:hAnsi="Times New Roman;Times;Serif"/>
                  <w:sz w:val="20"/>
                </w:rPr>
                <w:t>Consent of PricewaterhouseCoopers LLP, an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hyperlink w:anchor="ea030692701ex5-1.htm">
              <w:r>
                <w:rPr>
                  <w:rStyle w:val="InternetLink"/>
                  <w:rFonts w:ascii="Times New Roman;Times;Serif" w:hAnsi="Times New Roman;Times;Serif"/>
                  <w:sz w:val="20"/>
                </w:rPr>
                <w:t>Consent of Orrick, Herrington &amp; Sutcliffe LLP (contained in Exhibit 5.1).</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hyperlink w:anchor="poa_001">
              <w:r>
                <w:rPr>
                  <w:rStyle w:val="InternetLink"/>
                  <w:rFonts w:ascii="Times New Roman;Times;Serif" w:hAnsi="Times New Roman;Times;Serif"/>
                  <w:sz w:val="20"/>
                </w:rPr>
                <w:t>Power of Attorney (included in the signature pages hereto).</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hyperlink r:id="rId7">
              <w:r>
                <w:rPr>
                  <w:rStyle w:val="InternetLink"/>
                  <w:rFonts w:ascii="Times New Roman;Times;Serif" w:hAnsi="Times New Roman;Times;Serif"/>
                  <w:sz w:val="20"/>
                </w:rPr>
                <w:t>Serve Robotics Inc. 2023 Equity Incentive Plan and form of award agreements.</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000- 56237</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"https://www.sec.gov/Archives/edgar/data/1832483/000121390024050796/ea0207382-def14a_serverobo.htm" \l "a_035"</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Amendment to Serve Robotics Inc.’s 2023 Equity Incentive Plan dated July 22, 2024.</w:t>
            </w:r>
            <w:r>
              <w:rPr>
                <w:rStyle w:val="InternetLink"/>
                <w:sz w:val="20"/>
                <w:rFonts w:ascii="Times New Roman;Times;Serif" w:hAnsi="Times New Roman;Times;Serif"/>
              </w:rPr>
              <w:fldChar w:fldCharType="end"/>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DEF14A</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001-42023</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Appendix B</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7, 2024</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"https://www.sec.gov/ix?doc=/Archives/edgar/data/1832483/000114036125015733/edge20045840x1_def14a.htm" \l "tAPPB"</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Amendment to Serve Robotics Inc.’s 2023 Equity Incentive Plan dated June 12, 2025.</w:t>
            </w:r>
            <w:r>
              <w:rPr>
                <w:rStyle w:val="InternetLink"/>
                <w:sz w:val="20"/>
                <w:rFonts w:ascii="Times New Roman;Times;Serif" w:hAnsi="Times New Roman;Times;Serif"/>
              </w:rPr>
              <w:fldChar w:fldCharType="end"/>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DEF14A</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001- 42023</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Appendix B</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25, 2025</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107.1</w:t>
            </w:r>
          </w:p>
        </w:tc>
        <w:tc>
          <w:tcPr>
            <w:tcW w:w="60" w:type="dxa"/>
            <w:tcBorders/>
            <w:shd w:fill="CCEEFF" w:val="clear"/>
            <w:vAlign w:val="center"/>
          </w:tcPr>
          <w:p>
            <w:pPr>
              <w:pStyle w:val="TableContents"/>
              <w:bidi w:val="0"/>
              <w:spacing w:before="0" w:after="283"/>
              <w:jc w:val="left"/>
              <w:rPr/>
            </w:pPr>
            <w:r>
              <w:rPr/>
              <w:t> </w:t>
            </w:r>
          </w:p>
        </w:tc>
        <w:tc>
          <w:tcPr>
            <w:tcW w:w="4775" w:type="dxa"/>
            <w:tcBorders/>
            <w:shd w:fill="CCEEFF" w:val="clear"/>
            <w:vAlign w:val="center"/>
          </w:tcPr>
          <w:p>
            <w:pPr>
              <w:pStyle w:val="TableContents"/>
              <w:bidi w:val="0"/>
              <w:spacing w:before="0" w:after="283"/>
              <w:jc w:val="left"/>
              <w:rPr/>
            </w:pPr>
            <w:hyperlink w:anchor="ea030692701ex-fee.htm">
              <w:r>
                <w:rPr>
                  <w:rStyle w:val="InternetLink"/>
                  <w:rFonts w:ascii="Times New Roman;Times;Serif" w:hAnsi="Times New Roman;Times;Serif"/>
                  <w:sz w:val="20"/>
                </w:rPr>
                <w:t>Filing Fee Table.</w:t>
              </w:r>
            </w:hyperlink>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2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Carlos, State of California on October 1, 2026.</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65"/>
        <w:gridCol w:w="2300"/>
      </w:tblGrid>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rPr>
            </w:pPr>
            <w:r>
              <w:rPr>
                <w:b/>
              </w:rPr>
              <w:t>Serve Robotics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Ali Kashani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Ali Kashani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and officers of the Registrant, hereby severally constitute and appoint Ali Kashani, Touraj Parang and Evan Dunn as our true and lawful attorneys, with full power to each of them to sign for us and in our names in the capacities indicated below, the Registration Statement on Form S-8 filed herewith, and any and all amendments (including post-effective amendments) to said Registration Statement, and to file or cause to be filed the same, with all exhibits thereto and other documents in connection therewith, with the SEC,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indicated on the date indicated:</w:t>
      </w:r>
    </w:p>
    <w:p>
      <w:pPr>
        <w:pStyle w:val="TextBody"/>
        <w:bidi w:val="0"/>
        <w:spacing w:before="0" w:after="0"/>
        <w:ind w:left="0" w:right="0" w:firstLine="360"/>
        <w:jc w:val="both"/>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1910"/>
        <w:gridCol w:w="60"/>
        <w:gridCol w:w="6110"/>
        <w:gridCol w:w="60"/>
        <w:gridCol w:w="1580"/>
      </w:tblGrid>
      <w:tr>
        <w:trPr/>
        <w:tc>
          <w:tcPr>
            <w:tcW w:w="1910" w:type="dxa"/>
            <w:tcBorders>
              <w:bottom w:val="single" w:sz="12" w:space="0" w:color="000000"/>
            </w:tcBorders>
            <w:vAlign w:val="center"/>
          </w:tcPr>
          <w:p>
            <w:pPr>
              <w:pStyle w:val="TableContents"/>
              <w:bidi w:val="0"/>
              <w:spacing w:before="0" w:after="283"/>
              <w:jc w:val="both"/>
              <w:rPr>
                <w:b/>
              </w:rPr>
            </w:pPr>
            <w:r>
              <w:rPr>
                <w:b/>
              </w:rPr>
              <w:t>Signature</w:t>
            </w:r>
          </w:p>
        </w:tc>
        <w:tc>
          <w:tcPr>
            <w:tcW w:w="60" w:type="dxa"/>
            <w:tcBorders/>
            <w:tcMar>
              <w:bottom w:w="0" w:type="dxa"/>
            </w:tcMar>
            <w:vAlign w:val="center"/>
          </w:tcPr>
          <w:p>
            <w:pPr>
              <w:pStyle w:val="TableContents"/>
              <w:bidi w:val="0"/>
              <w:spacing w:before="0" w:after="283"/>
              <w:jc w:val="both"/>
              <w:rPr/>
            </w:pPr>
            <w:r>
              <w:rPr/>
              <w:t> </w:t>
            </w:r>
          </w:p>
        </w:tc>
        <w:tc>
          <w:tcPr>
            <w:tcW w:w="611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both"/>
              <w:rPr/>
            </w:pPr>
            <w:r>
              <w:rPr/>
              <w:t> </w:t>
            </w:r>
          </w:p>
        </w:tc>
        <w:tc>
          <w:tcPr>
            <w:tcW w:w="1580" w:type="dxa"/>
            <w:tcBorders>
              <w:bottom w:val="single" w:sz="12" w:space="0" w:color="000000"/>
            </w:tcBorders>
            <w:vAlign w:val="center"/>
          </w:tcPr>
          <w:p>
            <w:pPr>
              <w:pStyle w:val="TableContents"/>
              <w:bidi w:val="0"/>
              <w:spacing w:before="0" w:after="283"/>
              <w:jc w:val="center"/>
              <w:rPr>
                <w:b/>
              </w:rPr>
            </w:pPr>
            <w:r>
              <w:rPr>
                <w:b/>
              </w:rPr>
              <w:t>Date</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12" w:space="0" w:color="000000"/>
            </w:tcBorders>
            <w:vAlign w:val="center"/>
          </w:tcPr>
          <w:p>
            <w:pPr>
              <w:pStyle w:val="TableContents"/>
              <w:bidi w:val="0"/>
              <w:spacing w:before="0" w:after="283"/>
              <w:jc w:val="both"/>
              <w:rPr/>
            </w:pPr>
            <w:r>
              <w:rPr/>
              <w:t xml:space="preserve">/s/ Ali Kashani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Chief Executive Officer and Chairman of the Board of Directors</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October 1, 2026</w:t>
            </w:r>
          </w:p>
        </w:tc>
      </w:tr>
      <w:tr>
        <w:trPr/>
        <w:tc>
          <w:tcPr>
            <w:tcW w:w="1910" w:type="dxa"/>
            <w:tcBorders/>
            <w:tcMar>
              <w:bottom w:w="0" w:type="dxa"/>
            </w:tcMar>
            <w:vAlign w:val="center"/>
          </w:tcPr>
          <w:p>
            <w:pPr>
              <w:pStyle w:val="TableContents"/>
              <w:bidi w:val="0"/>
              <w:spacing w:before="0" w:after="283"/>
              <w:jc w:val="both"/>
              <w:rPr/>
            </w:pPr>
            <w:r>
              <w:rPr/>
              <w:t>Ali Kashani</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i/>
              </w:rPr>
            </w:pPr>
            <w:r>
              <w:rPr>
                <w:i/>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left"/>
              <w:rPr/>
            </w:pPr>
            <w:r>
              <w:rPr/>
              <w:t xml:space="preserve">/s/ Touraj Parang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President and Chief Operating Officer and Director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October 1, 2026</w:t>
            </w:r>
          </w:p>
        </w:tc>
      </w:tr>
      <w:tr>
        <w:trPr/>
        <w:tc>
          <w:tcPr>
            <w:tcW w:w="1910" w:type="dxa"/>
            <w:tcBorders/>
            <w:tcMar>
              <w:bottom w:w="0" w:type="dxa"/>
            </w:tcMar>
            <w:vAlign w:val="center"/>
          </w:tcPr>
          <w:p>
            <w:pPr>
              <w:pStyle w:val="TableContents"/>
              <w:bidi w:val="0"/>
              <w:spacing w:before="0" w:after="283"/>
              <w:jc w:val="both"/>
              <w:rPr/>
            </w:pPr>
            <w:r>
              <w:rPr/>
              <w:t>Touraj Parang</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left"/>
              <w:rPr/>
            </w:pPr>
            <w:r>
              <w:rPr/>
              <w:t xml:space="preserve">/s/ Brian Read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Chief Financial Officer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October 1, 2026</w:t>
            </w:r>
          </w:p>
        </w:tc>
      </w:tr>
      <w:tr>
        <w:trPr/>
        <w:tc>
          <w:tcPr>
            <w:tcW w:w="1910" w:type="dxa"/>
            <w:tcBorders/>
            <w:tcMar>
              <w:bottom w:w="0" w:type="dxa"/>
            </w:tcMar>
            <w:vAlign w:val="center"/>
          </w:tcPr>
          <w:p>
            <w:pPr>
              <w:pStyle w:val="TableContents"/>
              <w:bidi w:val="0"/>
              <w:spacing w:before="0" w:after="283"/>
              <w:jc w:val="both"/>
              <w:rPr/>
            </w:pPr>
            <w:r>
              <w:rPr/>
              <w:t>Brian Read</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i/>
              </w:rPr>
            </w:pPr>
            <w:r>
              <w:rPr>
                <w:i/>
              </w:rPr>
              <w:t>(principal financial and accounting officer)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left"/>
              <w:rPr/>
            </w:pPr>
            <w:r>
              <w:rPr/>
              <w:t xml:space="preserve">/s/ David Goldberg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October 1, 2026</w:t>
            </w:r>
          </w:p>
        </w:tc>
      </w:tr>
      <w:tr>
        <w:trPr/>
        <w:tc>
          <w:tcPr>
            <w:tcW w:w="1910" w:type="dxa"/>
            <w:tcBorders/>
            <w:tcMar>
              <w:bottom w:w="0" w:type="dxa"/>
            </w:tcMar>
            <w:vAlign w:val="center"/>
          </w:tcPr>
          <w:p>
            <w:pPr>
              <w:pStyle w:val="TableContents"/>
              <w:bidi w:val="0"/>
              <w:spacing w:before="0" w:after="283"/>
              <w:jc w:val="both"/>
              <w:rPr/>
            </w:pPr>
            <w:r>
              <w:rPr/>
              <w:t>David Goldberg</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left"/>
              <w:rPr/>
            </w:pPr>
            <w:r>
              <w:rPr/>
              <w:t>/s/ Andreas Lieber</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October 1, 2026</w:t>
            </w:r>
          </w:p>
        </w:tc>
      </w:tr>
      <w:tr>
        <w:trPr/>
        <w:tc>
          <w:tcPr>
            <w:tcW w:w="1910" w:type="dxa"/>
            <w:tcBorders/>
            <w:tcMar>
              <w:bottom w:w="0" w:type="dxa"/>
            </w:tcMar>
            <w:vAlign w:val="center"/>
          </w:tcPr>
          <w:p>
            <w:pPr>
              <w:pStyle w:val="TableContents"/>
              <w:bidi w:val="0"/>
              <w:spacing w:before="0" w:after="283"/>
              <w:jc w:val="both"/>
              <w:rPr/>
            </w:pPr>
            <w:r>
              <w:rPr/>
              <w:t>Andreas Lieber</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left"/>
              <w:rPr/>
            </w:pPr>
            <w:r>
              <w:rPr/>
              <w:t xml:space="preserve">/s/ Lily Sarafan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October 1, 2026</w:t>
            </w:r>
          </w:p>
        </w:tc>
      </w:tr>
      <w:tr>
        <w:trPr/>
        <w:tc>
          <w:tcPr>
            <w:tcW w:w="1910" w:type="dxa"/>
            <w:tcBorders/>
            <w:tcMar>
              <w:bottom w:w="0" w:type="dxa"/>
            </w:tcMar>
            <w:vAlign w:val="center"/>
          </w:tcPr>
          <w:p>
            <w:pPr>
              <w:pStyle w:val="TableContents"/>
              <w:bidi w:val="0"/>
              <w:spacing w:before="0" w:after="283"/>
              <w:jc w:val="both"/>
              <w:rPr/>
            </w:pPr>
            <w:r>
              <w:rPr/>
              <w:t>Lily Sarafan</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both"/>
              <w:rPr/>
            </w:pPr>
            <w:r>
              <w:rPr/>
              <w:t xml:space="preserve">/s/ Olivier Vincent </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center"/>
              <w:rPr/>
            </w:pPr>
            <w:r>
              <w:rPr/>
              <w:t>October 1, 2026</w:t>
            </w:r>
          </w:p>
        </w:tc>
      </w:tr>
      <w:tr>
        <w:trPr/>
        <w:tc>
          <w:tcPr>
            <w:tcW w:w="1910" w:type="dxa"/>
            <w:tcBorders/>
            <w:tcMar>
              <w:bottom w:w="0" w:type="dxa"/>
            </w:tcMar>
            <w:vAlign w:val="center"/>
          </w:tcPr>
          <w:p>
            <w:pPr>
              <w:pStyle w:val="TableContents"/>
              <w:bidi w:val="0"/>
              <w:spacing w:before="0" w:after="283"/>
              <w:jc w:val="both"/>
              <w:rPr/>
            </w:pPr>
            <w:r>
              <w:rPr/>
              <w:t>Olivier Vincent</w:t>
            </w:r>
          </w:p>
        </w:tc>
        <w:tc>
          <w:tcPr>
            <w:tcW w:w="60" w:type="dxa"/>
            <w:tcBorders/>
            <w:tcMar>
              <w:bottom w:w="0" w:type="dxa"/>
            </w:tcMar>
            <w:vAlign w:val="center"/>
          </w:tcPr>
          <w:p>
            <w:pPr>
              <w:pStyle w:val="TableContents"/>
              <w:bidi w:val="0"/>
              <w:spacing w:before="0" w:after="283"/>
              <w:jc w:val="both"/>
              <w:rPr/>
            </w:pPr>
            <w:r>
              <w:rPr/>
              <w:t> </w:t>
            </w:r>
          </w:p>
        </w:tc>
        <w:tc>
          <w:tcPr>
            <w:tcW w:w="61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692701ex5-1.htm"/>
      <w:bookmarkStart w:id="4" w:name="ksea030692701ex51"/>
      <w:bookmarkEnd w:id="3"/>
      <w:bookmarkEnd w:id="4"/>
      <w:r>
        <w:rPr>
          <w:rFonts w:ascii="Times New Roman;Times;Serif" w:hAnsi="Times New Roman;Times;Serif"/>
          <w:b/>
          <w:i w:val="false"/>
          <w:caps w:val="false"/>
          <w:smallCaps w:val="false"/>
          <w:sz w:val="20"/>
        </w:rPr>
        <w:t>Exhibit 5.1</w:t>
      </w:r>
      <w:r>
        <w:br w:type="page"/>
      </w:r>
    </w:p>
    <w:p>
      <w:pPr>
        <w:pStyle w:val="TextBody"/>
        <w:bidi w:val="0"/>
        <w:ind w:left="0" w:right="0" w:hanging="0"/>
        <w:jc w:val="right"/>
        <w:rPr/>
      </w:pPr>
      <w:r>
        <w:rPr/>
        <w:t> </w:t>
      </w:r>
    </w:p>
    <w:p>
      <w:pPr>
        <w:pStyle w:val="TextBody"/>
        <w:bidi w:val="0"/>
        <w:jc w:val="right"/>
        <w:rPr/>
      </w:pPr>
      <w:r>
        <w:rPr/>
        <w:drawing>
          <wp:inline distT="0" distB="0" distL="0" distR="0">
            <wp:extent cx="12573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1257300" cy="714375"/>
                    </a:xfrm>
                    <a:prstGeom prst="rect">
                      <a:avLst/>
                    </a:prstGeom>
                  </pic:spPr>
                </pic:pic>
              </a:graphicData>
            </a:graphic>
          </wp:inline>
        </w:drawing>
      </w:r>
    </w:p>
    <w:p>
      <w:pPr>
        <w:pStyle w:val="TextBody"/>
        <w:bidi w:val="0"/>
        <w:spacing w:before="0" w:after="283"/>
        <w:jc w:val="left"/>
        <w:rPr/>
      </w:pPr>
      <w:r>
        <w:rPr/>
        <w:t>  </w:t>
      </w:r>
    </w:p>
    <w:tbl>
      <w:tblPr>
        <w:tblW w:w="3065" w:type="dxa"/>
        <w:jc w:val="left"/>
        <w:tblInd w:w="0" w:type="dxa"/>
        <w:tblLayout w:type="fixed"/>
        <w:tblCellMar>
          <w:top w:w="0" w:type="dxa"/>
          <w:left w:w="0" w:type="dxa"/>
          <w:bottom w:w="0" w:type="dxa"/>
          <w:right w:w="0" w:type="dxa"/>
        </w:tblCellMar>
      </w:tblPr>
      <w:tblGrid>
        <w:gridCol w:w="3065"/>
      </w:tblGrid>
      <w:tr>
        <w:trPr/>
        <w:tc>
          <w:tcPr>
            <w:tcW w:w="3065" w:type="dxa"/>
            <w:tcBorders/>
            <w:vAlign w:val="center"/>
          </w:tcPr>
          <w:p>
            <w:pPr>
              <w:pStyle w:val="TableContents"/>
              <w:bidi w:val="0"/>
              <w:spacing w:before="0" w:after="283"/>
              <w:jc w:val="right"/>
              <w:rPr>
                <w:b/>
                <w:sz w:val="20"/>
              </w:rPr>
            </w:pPr>
            <w:r>
              <w:rPr>
                <w:b/>
                <w:sz w:val="20"/>
              </w:rPr>
              <w:t>Orrick, Herrington &amp; Sutcliffe LLP</w:t>
            </w:r>
          </w:p>
        </w:tc>
      </w:tr>
      <w:tr>
        <w:trPr/>
        <w:tc>
          <w:tcPr>
            <w:tcW w:w="3065" w:type="dxa"/>
            <w:tcBorders/>
            <w:vAlign w:val="center"/>
          </w:tcPr>
          <w:p>
            <w:pPr>
              <w:pStyle w:val="TableContents"/>
              <w:bidi w:val="0"/>
              <w:spacing w:before="0" w:after="283"/>
              <w:jc w:val="right"/>
              <w:rPr>
                <w:sz w:val="20"/>
              </w:rPr>
            </w:pPr>
            <w:r>
              <w:rPr>
                <w:sz w:val="20"/>
              </w:rPr>
              <w:t>222 Berkeley St Suite 2000</w:t>
            </w:r>
          </w:p>
        </w:tc>
      </w:tr>
      <w:tr>
        <w:trPr/>
        <w:tc>
          <w:tcPr>
            <w:tcW w:w="3065" w:type="dxa"/>
            <w:tcBorders/>
            <w:vAlign w:val="center"/>
          </w:tcPr>
          <w:p>
            <w:pPr>
              <w:pStyle w:val="TableContents"/>
              <w:bidi w:val="0"/>
              <w:spacing w:before="0" w:after="283"/>
              <w:jc w:val="right"/>
              <w:rPr>
                <w:sz w:val="20"/>
              </w:rPr>
            </w:pPr>
            <w:r>
              <w:rPr>
                <w:sz w:val="20"/>
              </w:rPr>
              <w:t>Boston, MA 02116</w:t>
            </w:r>
          </w:p>
        </w:tc>
      </w:tr>
      <w:tr>
        <w:trPr/>
        <w:tc>
          <w:tcPr>
            <w:tcW w:w="3065" w:type="dxa"/>
            <w:tcBorders/>
            <w:vAlign w:val="center"/>
          </w:tcPr>
          <w:p>
            <w:pPr>
              <w:pStyle w:val="TableContents"/>
              <w:bidi w:val="0"/>
              <w:spacing w:before="0" w:after="283"/>
              <w:jc w:val="right"/>
              <w:rPr>
                <w:sz w:val="20"/>
              </w:rPr>
            </w:pPr>
            <w:r>
              <w:rPr>
                <w:sz w:val="20"/>
              </w:rPr>
              <w:t>+1-617-880-1800</w:t>
            </w:r>
          </w:p>
        </w:tc>
      </w:tr>
      <w:tr>
        <w:trPr/>
        <w:tc>
          <w:tcPr>
            <w:tcW w:w="3065" w:type="dxa"/>
            <w:tcBorders/>
            <w:vAlign w:val="center"/>
          </w:tcPr>
          <w:p>
            <w:pPr>
              <w:pStyle w:val="TableContents"/>
              <w:bidi w:val="0"/>
              <w:spacing w:before="0" w:after="283"/>
              <w:jc w:val="right"/>
              <w:rPr>
                <w:b/>
                <w:sz w:val="20"/>
              </w:rPr>
            </w:pPr>
            <w:r>
              <w:rPr>
                <w:b/>
                <w:sz w:val="20"/>
              </w:rPr>
              <w:t>orrick.com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 Bayport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California 94070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Serve Robotics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of the Company’s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registration of an aggregate of 4,131,980 shares of the Company’s common stock, par value $0.0001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such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reserved for issuance pursuant to the Serve Robotics Inc. 2023 Equity Incentive Plan, as amended by Amendments to the Serve Robotics Inc. 2023 Equity Incentive Plan dated July 22, 2024 and June 12, 2025 (as amended, the “</w:t>
      </w:r>
      <w:r>
        <w:rPr>
          <w:rFonts w:ascii="Times New Roman;Times;Serif" w:hAnsi="Times New Roman;Times;Serif"/>
          <w:b w:val="false"/>
          <w:i w:val="false"/>
          <w:caps w:val="false"/>
          <w:smallCaps w:val="false"/>
          <w:sz w:val="20"/>
          <w:u w:val="single"/>
        </w:rPr>
        <w:t>2023 Plan</w:t>
      </w:r>
      <w:r>
        <w:rPr>
          <w:rFonts w:ascii="Times New Roman;Times;Serif" w:hAnsi="Times New Roman;Times;Serif"/>
          <w:b w:val="false"/>
          <w:i w:val="false"/>
          <w:caps w:val="false"/>
          <w:smallCaps w:val="false"/>
          <w:sz w:val="20"/>
        </w:rPr>
        <w:t>”). As your legal counsel, we have reviewed the actions proposed to be taken by you in connection with the issuance and sale of the Shares to be issued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(i) the Registration Statement; (ii) the Amended and Restated Certificate of Incorporation of the Company, as amended and restated through the date hereof; (iii) the Amended and Restated Bylaws of the Company, as amended and restated through the date hereof; (iv) the 2023 Plan; and (v) such corporate records of the Company, certificates of public officials, officers of the Company and other persons, and such other documents, agreements and instruments as we have deemed relevant and necessary or appropriate as a basis for our opinion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documents executed or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and others and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qualifications and assumptions set forth herein, we are of the opinion that the Shares to be issued pursuant to the terms of the 2023 Plan have been duly authorized and, when issued, delivered and paid for in accordance with the terms of the 2023 Plan,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limited to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In giving such consent, we do not admit that we are included 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3095"/>
      </w:tblGrid>
      <w:tr>
        <w:trPr/>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Orrick, Herrington &amp; Sutcliffe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Orrick, Herrington &amp; Sutcliffe LLP</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692701ex23-1.htm"/>
      <w:bookmarkStart w:id="6" w:name="ksea0306927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6, 2025, related to the consolidated financial statements of Serve Robotics Inc. (the “Company”) as of and for the year ended December 31, 2024, included in its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ea030692701ex23-2.htm"/>
      <w:bookmarkStart w:id="8" w:name="ksea030692701ex232"/>
      <w:bookmarkEnd w:id="7"/>
      <w:bookmarkEnd w:id="8"/>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Serve Robotics Inc. of our report dated March 12, 2026 relating to the financial statements, which appears in Serve Robotics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b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ea030692701ex-fee.htm"/>
      <w:bookmarkStart w:id="10" w:name="ksea0306927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Serve Robotics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3"/>
        <w:gridCol w:w="60"/>
        <w:gridCol w:w="971"/>
        <w:gridCol w:w="60"/>
        <w:gridCol w:w="575"/>
        <w:gridCol w:w="60"/>
        <w:gridCol w:w="1128"/>
        <w:gridCol w:w="60"/>
        <w:gridCol w:w="1083"/>
        <w:gridCol w:w="60"/>
        <w:gridCol w:w="270"/>
        <w:gridCol w:w="850"/>
        <w:gridCol w:w="60"/>
        <w:gridCol w:w="152"/>
        <w:gridCol w:w="1520"/>
        <w:gridCol w:w="60"/>
        <w:gridCol w:w="1040"/>
        <w:gridCol w:w="60"/>
        <w:gridCol w:w="176"/>
        <w:gridCol w:w="1107"/>
      </w:tblGrid>
      <w:tr>
        <w:trPr/>
        <w:tc>
          <w:tcPr>
            <w:tcW w:w="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r>
      <w:tr>
        <w:trPr/>
        <w:tc>
          <w:tcPr>
            <w:tcW w:w="853"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71"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8"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83"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r>
      <w:tr>
        <w:trPr/>
        <w:tc>
          <w:tcPr>
            <w:tcW w:w="85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4,131,980</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4.41</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18,222,031.80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107" w:type="dxa"/>
            <w:tcBorders/>
            <w:vAlign w:val="center"/>
          </w:tcPr>
          <w:p>
            <w:pPr>
              <w:pStyle w:val="TableContents"/>
              <w:bidi w:val="0"/>
              <w:spacing w:before="0" w:after="283"/>
              <w:jc w:val="right"/>
              <w:rPr/>
            </w:pPr>
            <w:r>
              <w:rPr/>
              <w:t>1,586.22</w:t>
            </w:r>
          </w:p>
        </w:tc>
      </w:tr>
      <w:tr>
        <w:trPr/>
        <w:tc>
          <w:tcPr>
            <w:tcW w:w="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3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18,222,031.80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1,586.22</w:t>
            </w:r>
          </w:p>
        </w:tc>
      </w:tr>
      <w:tr>
        <w:trPr/>
        <w:tc>
          <w:tcPr>
            <w:tcW w:w="603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3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bottom w:val="double" w:sz="8" w:space="0" w:color="000000"/>
            </w:tcBorders>
            <w:tcMar>
              <w:bottom w:w="28" w:type="dxa"/>
            </w:tcMar>
            <w:vAlign w:val="center"/>
          </w:tcPr>
          <w:p>
            <w:pPr>
              <w:pStyle w:val="TableContents"/>
              <w:bidi w:val="0"/>
              <w:spacing w:before="0" w:after="283"/>
              <w:jc w:val="left"/>
              <w:rPr/>
            </w:pPr>
            <w:r>
              <w:rPr/>
              <w:t>$</w:t>
            </w:r>
          </w:p>
        </w:tc>
        <w:tc>
          <w:tcPr>
            <w:tcW w:w="1107" w:type="dxa"/>
            <w:tcBorders>
              <w:bottom w:val="double" w:sz="8" w:space="0" w:color="000000"/>
            </w:tcBorders>
            <w:tcMar>
              <w:bottom w:w="28" w:type="dxa"/>
            </w:tcMar>
            <w:vAlign w:val="center"/>
          </w:tcPr>
          <w:p>
            <w:pPr>
              <w:pStyle w:val="TableContents"/>
              <w:bidi w:val="0"/>
              <w:spacing w:before="0" w:after="283"/>
              <w:jc w:val="right"/>
              <w:rPr/>
            </w:pPr>
            <w:r>
              <w:rPr/>
              <w:t>1,586.22</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(1) Amount registered covers common stock, par value $0.0001 per share, of Serve Robotics Inc. (“Common Stock”) under the Serve Robotics Inc. 2023 Equity Incentive Plan (the “2023 Plan”) and, pursuant to Rule 416(a) under the Securities Act of 1933, as amended (the “Securities Act”), an indeterminate amount of additional Common Stock that may be offered and issued under the 2023 Plan to prevent dilution resulting from stock splits, stock distributions or similar transactions. (2) Proposed maximum offering price per unit has been estimated solely for calculating the registration fee, pursuant to paragraphs (c) and (h) of Rule 457 under the Securities Act, on the basis of the average of the high and low price per share of Common Stock as reported by The Nasdaq Capital Market on September 28,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483/000121390024018593/ea0200669-s8_serverobo.htm" TargetMode="External"/><Relationship Id="rId3" Type="http://schemas.openxmlformats.org/officeDocument/2006/relationships/hyperlink" Target="https://www.sec.gov/Archives/edgar/data/1832483/000101376224002130/ea0210111-s8_serverob.htm" TargetMode="External"/><Relationship Id="rId4" Type="http://schemas.openxmlformats.org/officeDocument/2006/relationships/hyperlink" Target="https://www.sec.gov/Archives/edgar/data/1832483/000121390024086633/ea0217029-s8_serverob.htm" TargetMode="External"/><Relationship Id="rId5" Type="http://schemas.openxmlformats.org/officeDocument/2006/relationships/hyperlink" Target="https://www.sec.gov/Archives/edgar/data/1832483/000121390025056198/ea0246110-s8_serverob.htm" TargetMode="External"/><Relationship Id="rId6" Type="http://schemas.openxmlformats.org/officeDocument/2006/relationships/hyperlink" Target="https://www.sec.gov/Archives/edgar/data/1832483/000121390025098699/ea0260731-s8_serverob.htm" TargetMode="External"/><Relationship Id="rId7" Type="http://schemas.openxmlformats.org/officeDocument/2006/relationships/hyperlink" Target="https://www.sec.gov/Archives/edgar/data/1832483/000121390024018566/ea0200355ex10-29_serverobot.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1961</Words>
  <Characters>10497</Characters>
  <CharactersWithSpaces>12743</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