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6012.xml.htm"/>
      <w:bookmarkStart w:id="1" w:name="kswkform4_17871760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Read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SERVE ROBOTICS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1360 BAYPORT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Serve Robotics Inc. /DE/</w:t>
              </w:r>
            </w:hyperlink>
            <w:r>
              <w:rPr/>
              <w:t xml:space="preserve"> [ </w:t>
            </w:r>
            <w:r>
              <w:rPr>
                <w:rFonts w:ascii="Times;serif" w:hAnsi="Times;serif"/>
                <w:color w:val="0000FF"/>
                <w:sz w:val="24"/>
                <w:shd w:fill="FFFFFF" w:val="clear"/>
              </w:rPr>
              <w:t>SERV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25,240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5.24</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291,831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6,129</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285,702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276,002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sold to satisfy tax withholding obligations relating to the acquisition of shares of the Issuer's common stock in connection with the settlement of the vested portion of RSUs pursuant to provisions of a restricted stock unit agreement by and between the Issuer and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Jongmin Char, as attorney-in-fact for Brian Read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1854" TargetMode="External"/><Relationship Id="rId5" Type="http://schemas.openxmlformats.org/officeDocument/2006/relationships/hyperlink" Target="http://www.sec.gov/cgi-bin/browse-edgar?action=getcompany&amp;CIK=00018324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3477</Characters>
  <CharactersWithSpaces>4036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