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31, 2024.</w:t>
      </w:r>
    </w:p>
    <w:p>
      <w:pPr>
        <w:spacing w:after="0" w:line="31" w:lineRule="exact"/>
        <w:rPr>
          <w:sz w:val="24"/>
          <w:szCs w:val="24"/>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3790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85-3844872</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ind w:left="5380" w:hanging="307"/>
        <w:spacing w:after="0"/>
        <w:tabs>
          <w:tab w:leader="none" w:pos="5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Broadway</w:t>
      </w:r>
    </w:p>
    <w:p>
      <w:pPr>
        <w:spacing w:after="0" w:line="31" w:lineRule="exact"/>
        <w:rPr>
          <w:rFonts w:ascii="Times New Roman" w:cs="Times New Roman" w:eastAsia="Times New Roman" w:hAnsi="Times New Roman"/>
          <w:sz w:val="18"/>
          <w:szCs w:val="18"/>
          <w:b w:val="1"/>
          <w:bCs w:val="1"/>
          <w:color w:val="auto"/>
        </w:rPr>
      </w:pPr>
    </w:p>
    <w:p>
      <w:pPr>
        <w:ind w:left="4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Redwood City, CA 94063</w:t>
      </w:r>
    </w:p>
    <w:p>
      <w:pPr>
        <w:spacing w:after="0" w:line="9" w:lineRule="exact"/>
        <w:rPr>
          <w:rFonts w:ascii="Times New Roman" w:cs="Times New Roman" w:eastAsia="Times New Roman" w:hAnsi="Times New Roman"/>
          <w:sz w:val="18"/>
          <w:szCs w:val="18"/>
          <w:b w:val="1"/>
          <w:bCs w:val="1"/>
          <w:color w:val="auto"/>
        </w:rPr>
      </w:pPr>
    </w:p>
    <w:p>
      <w:pPr>
        <w:ind w:left="5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(818) 860-1352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 Kashani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5380" w:hanging="307"/>
        <w:spacing w:after="0"/>
        <w:tabs>
          <w:tab w:leader="none" w:pos="53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Broadway</w:t>
      </w:r>
    </w:p>
    <w:p>
      <w:pPr>
        <w:spacing w:after="0" w:line="9" w:lineRule="exact"/>
        <w:rPr>
          <w:rFonts w:ascii="Times New Roman" w:cs="Times New Roman" w:eastAsia="Times New Roman" w:hAnsi="Times New Roman"/>
          <w:sz w:val="18"/>
          <w:szCs w:val="18"/>
          <w:b w:val="1"/>
          <w:bCs w:val="1"/>
          <w:color w:val="auto"/>
        </w:rPr>
      </w:pPr>
    </w:p>
    <w:p>
      <w:pPr>
        <w:ind w:left="4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Redwood City, California 94063</w:t>
      </w:r>
    </w:p>
    <w:p>
      <w:pPr>
        <w:spacing w:after="0" w:line="9" w:lineRule="exact"/>
        <w:rPr>
          <w:rFonts w:ascii="Times New Roman" w:cs="Times New Roman" w:eastAsia="Times New Roman" w:hAnsi="Times New Roman"/>
          <w:sz w:val="18"/>
          <w:szCs w:val="18"/>
          <w:b w:val="1"/>
          <w:bCs w:val="1"/>
          <w:color w:val="auto"/>
        </w:rPr>
      </w:pPr>
    </w:p>
    <w:p>
      <w:pPr>
        <w:ind w:left="5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(818) 860-1352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Albert Vanderlaan,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Orrick, Herrington &amp; Sutcliffe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Berkeley St., Suite 2000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880-2219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this registration statement is declared effective.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07"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 may not sell these securities pursuant to this prospectus until the registration statement filed with the Securities and Exchange Commission becomes effective. This preliminary prospectus is not an offer to sell these securities and is not soliciting offers to buy these securities in any jurisdiction where the offer or sale is not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TO COMPLETION, DATED JULY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827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 Shares of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registering and resale by the selling stockholder named under the heading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in this prospectus (which term as used in this prospectus includes its respective transferees, pledgees, distributees, donees and successors-in-interest, each a “selling stockholder” and, collectively, the “selling stockholders”) of up to 5,000,000 shares of common stock, par value $0.0001 per share, of Serve Robotics Inc. (the “Company”), which includes: (i) 2,500,000 shares of our common stock issuable upon exercise of the pre-funded warrants (the “Pre-Funded Warrants”) issued to Armistice Capital Master Fund Ltd. (“Armistice”) in connection with a private placement of warrants and pre-funded warrants, as more fully described herein (the “July 2024 PIPE”) and (ii) 2,500,000 shares of our common stock issuable upon exercise of the warrants (the “Investor Warrants,” and together with the Pre-Funded Warrants, the “July 2024 PIPE Warrants”) issued to Armistice in connection with the July 2024 PIPE.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by the selling stockholder. However, we will receive the proceeds of any cash exercise of the July 2024 PIPE Warrants. The selling stockholder may sell the shares of common stock offered by this prospectus from time to time through the means described in this prospectus under the caption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shares of common stock. The selling stockholder will bear all discounts, concessions, commissions and similar selling expenses, if any, attributable to their respective sales of the shares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LLC (“Nasdaq”) under the ticker symbol “SERV”. On July 30, 2024, the last reported sale price of our common stock on Nasdaq was $15.00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as defined under the federal securities laws and, as such, are eligible for reduced public company reporting requirements. See “Prospectus Summary — Implications of Being an Emerging Growth Company and a Smaller Reporting Company.”</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please read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7 of this prospectus.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5200" w:type="dxa"/>
            <w:vAlign w:val="bottom"/>
          </w:tcPr>
          <w:p>
            <w:pPr>
              <w:jc w:val="right"/>
              <w:ind w:right="439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655"/>
        </w:trPr>
        <w:tc>
          <w:tcPr>
            <w:tcW w:w="60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300" w:type="dxa"/>
            <w:vAlign w:val="bottom"/>
            <w:gridSpan w:val="7"/>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1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788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02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MERGER, THE PRIVATE PLACEMENT, THE PUBLIC OFFERING AND RELATED TRANSACTIONS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OUR COMMON STOCK AND DIVIDEND POLICY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89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20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6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800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176"/>
        </w:trPr>
        <w:tc>
          <w:tcPr>
            <w:tcW w:w="38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30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U.S. Securities and Exchange Commission (“SEC”) pursuant to which the selling stockholder may, from time to time, offer and sell or otherwise dispose of the shares of our common stock covered by this prospectus. We will not receive any proceeds from the sale by the selling stockholder of the securities offered by them described in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and the selling stockholder has not, authorized anyone to give you any information other than the information contained in this prospectus, the information incorporated by reference herein, any applicable prospectus supplement or any free writing prospectus filed with the SEC. We and the selling stockholder take no responsibility for, and can provide no assurances as to the reliability of, any other information that others may give you. Neither we nor the selling stockholder have authorized anyone to provide you with additional information or information different from that contained in this prospectus filed with the SEC. The selling stockholder is offering to sell, and seeking offers to buy, shares of our common stock only in jurisdictions where offers and sales are permitted.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Non-U.S. Investors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and the scope and duration of such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including suppliers, delivery platforms, brand sponsors, software providers and service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public spaces and any errors caused by human supervisors, network connectivity or automation;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reliance on sophisticated software technology that incorporates third-party components and networks to operate and our ability to maintain licenses for this software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at a large 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industry in which we operate which is subject to rapid technological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develop our technology and scale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 especially those related to personal delivery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to our operational systems, infrastructure and integrated software by us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in any applicable prospectus supplement and in any related free writing prospectus.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and any applicable prospectus supplement and any related free writing prospectus may contain, estimates, projections and other information concerning our industry, our business and the markets for certain robotics. Information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that we believe to be reliable. In some cases, we do not expressly refer to the sources from which such data are derived.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887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includes a number of technical terms. Please see “</w:t>
      </w:r>
      <w:r>
        <w:rPr>
          <w:rFonts w:ascii="Times New Roman" w:cs="Times New Roman" w:eastAsia="Times New Roman" w:hAnsi="Times New Roman"/>
          <w:sz w:val="18"/>
          <w:szCs w:val="18"/>
          <w:i w:val="1"/>
          <w:iCs w:val="1"/>
          <w:color w:val="auto"/>
        </w:rPr>
        <w:t>Glossary of Terms and Abbreviations</w:t>
      </w:r>
      <w:r>
        <w:rPr>
          <w:rFonts w:ascii="Times New Roman" w:cs="Times New Roman" w:eastAsia="Times New Roman" w:hAnsi="Times New Roman"/>
          <w:sz w:val="18"/>
          <w:szCs w:val="18"/>
          <w:color w:val="auto"/>
        </w:rPr>
        <w:t>” beginning on page 50.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we aim to reshape cities into sustainable, safe and people-friendly environments, with thriving local economies.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our robots had successfully completed over 10,000 commercial deliveries for Postmates Inc. (collectively with its affiliated entities, “Postmates”) in California, augmenting Postmates’ fleet of human couriers.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us as full-time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we established a commercial partnership with Uber, with deliveries starting in January 2022 on a small scale. In May 2022, Uber announced a pilot program with us, and by June, it executed a commercial-scale agreement with us to deploy up to 2,000 of our robots across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fleet consists of over 100 robots, and we plan to expand our fleet by building and deploying hundreds of new robots in the coming years after raising additional capital. We have platform-level integrations with the Uber Eats division of Uber and 7-Eleven, Inc. Our strategic investors include NVIDIA, Uber, 7-Ventures and Delivery Hero’s corporate venture units, alongside other world-class investors.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47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PIPE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23, 2024, we entered into a Securities Purchase Agreement with Armistice for a private placement offering of the Pre-Funded Warrants and accompanying Investor Warrants. Pursuant to the Securities Purchase Agreement, we sold 2,500,000 Pre-Funded Warrants, with each Pre-Funded Warrant exercisable for one share of Common Stock, together with Investor Warrants to purchase up to 2,500,000 shares of Common Stock. Each Pre-Funded Warrant and accompanying Investor Warrant were sold together at a combined offering price of $5.9999.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substantial risk. Our ability to execute our strategy is also subject to certain risks.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 may cause us not to realize the full benefits of our strengths or may cause us to be unable to successfully execute all or part of our strategy. Some of the most significant challenges and risks include the following:</w:t>
      </w:r>
    </w:p>
    <w:p>
      <w:pPr>
        <w:spacing w:after="0" w:line="176" w:lineRule="exact"/>
        <w:rPr>
          <w:sz w:val="20"/>
          <w:szCs w:val="20"/>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new generations of our robotic systems successfully.</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concentrated with a limited number of customers.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plans rely on partnering with third-party delivery platforms, brand sponsors and/or direct sales to merchants.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service providers or disruptions to our outsourcing relationships might negatively impact our ability to conduct our business.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operate in public spaces and any errors caused by human supervisors, network connectivity issues, third-party software or automation may adversely affect our commercial relationships.</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our products could be supplanted by other technologies or solutions or competitors’ products that utilize similar technology to ours in a more effective way.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7" w:name="page8"/>
    <w:bookmarkEnd w:id="7"/>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We have limited experience commercializing our products at a large scale and may not be able to do so efficiently or effectively.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regulations around personal delivery devices (“PDDs”) could materially impact our business and growth prospects in new markets.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competitors may have or attain more resources and/or greater market recognition than we do.</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protect, maintain and, if necessary, enforce our intellectual property rights, our ability to develop and commercialize products will be adversely impacted.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proprietary information and expose us to liability, which would cause our business and reputation to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use of the internet via websites, mobile devices and other platforms, particularly with respect to online food ordering, does not continue, our business and growth prospects will be harmed.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and services, the purchase or subscription, adoption and use of the products and services may be materially and negatively impacted if our customers resist the use and adoption of the products and services.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products, technologies and services and related equipment may have shorter useful lives than we anticipate.</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any manufacturing partners, and suppliers may rely on complex machinery for production, which involves a significant degree of risk and uncertainty in terms of operational performance and costs.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1120" w:right="479" w:bottom="1440" w:gutter="0" w:footer="0" w:header="0"/>
        </w:sectPr>
      </w:pPr>
    </w:p>
    <w:bookmarkStart w:id="8" w:name="page9"/>
    <w:bookmarkEnd w:id="8"/>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7573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Our ability to manufacture products of sufficient quality on schedule in the future is uncertain, and delays in the design, production and launch of our products could harm our business, prospects, financial condition and operating results.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to our operational systems, security systems, infrastructure, integrated software in our products and data processed by us or third-party vendors.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176" w:lineRule="exact"/>
        <w:rPr>
          <w:sz w:val="20"/>
          <w:szCs w:val="20"/>
          <w:color w:val="auto"/>
        </w:rPr>
      </w:pPr>
    </w:p>
    <w:p>
      <w:pPr>
        <w:jc w:val="both"/>
        <w:ind w:left="640" w:right="2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as amended (the “Sarbanes-Oxley Act”), on the effectiveness of our internal controls over financial reporting;</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including this prospectus;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2498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2498725"/>
                    </a:xfrm>
                    <a:prstGeom prst="rect">
                      <a:avLst/>
                    </a:prstGeom>
                    <a:noFill/>
                  </pic:spPr>
                </pic:pic>
              </a:graphicData>
            </a:graphic>
          </wp:anchor>
        </w:drawing>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as Patricia Acquisition Corp. on November 9, 2020. On July 31, 2023, Serve Acquisition Corp.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Merger, Patricia Acquisition Corp. was a “shell” company registered under the Exchange Act, with no specific business plan or purpose until it began operating the business of Serve following the closing of the Merger.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8"/>
          <w:szCs w:val="18"/>
          <w:i w:val="1"/>
          <w:iCs w:val="1"/>
          <w:color w:val="auto"/>
        </w:rPr>
        <w:t>http://www.serverobotics.com.</w:t>
      </w:r>
      <w:r>
        <w:rPr>
          <w:rFonts w:ascii="Times New Roman" w:cs="Times New Roman" w:eastAsia="Times New Roman" w:hAnsi="Times New Roman"/>
          <w:sz w:val="18"/>
          <w:szCs w:val="18"/>
          <w:color w:val="auto"/>
        </w:rPr>
        <w:t xml:space="preserve"> Information contained on, or that can be accessed through, our website is not a part of this prospectus.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710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THE OFFERING</w:t>
      </w:r>
    </w:p>
    <w:p>
      <w:pPr>
        <w:sectPr>
          <w:pgSz w:w="11900" w:h="16838" w:orient="portrait"/>
          <w:cols w:equalWidth="0" w:num="1">
            <w:col w:w="10960"/>
          </w:cols>
          <w:pgMar w:left="460" w:top="1116" w:right="479" w:bottom="1440" w:gutter="0" w:footer="0" w:header="0"/>
        </w:sectPr>
      </w:pPr>
    </w:p>
    <w:p>
      <w:pPr>
        <w:spacing w:after="0" w:line="225" w:lineRule="exact"/>
        <w:rPr>
          <w:sz w:val="20"/>
          <w:szCs w:val="20"/>
          <w:color w:val="auto"/>
        </w:rPr>
      </w:pPr>
    </w:p>
    <w:p>
      <w:pPr>
        <w:spacing w:after="0"/>
        <w:tabs>
          <w:tab w:leader="none" w:pos="880" w:val="left"/>
          <w:tab w:leader="none" w:pos="1500" w:val="left"/>
          <w:tab w:leader="none" w:pos="2280" w:val="left"/>
        </w:tabs>
        <w:rPr>
          <w:sz w:val="20"/>
          <w:szCs w:val="20"/>
          <w:color w:val="auto"/>
        </w:rPr>
      </w:pPr>
      <w:r>
        <w:rPr>
          <w:rFonts w:ascii="Times New Roman" w:cs="Times New Roman" w:eastAsia="Times New Roman" w:hAnsi="Times New Roman"/>
          <w:sz w:val="18"/>
          <w:szCs w:val="18"/>
          <w:b w:val="1"/>
          <w:bCs w:val="1"/>
          <w:color w:val="auto"/>
        </w:rPr>
        <w:t>Common</w:t>
        <w:tab/>
        <w:t>stock</w:t>
        <w:tab/>
        <w:t>offered</w:t>
      </w:r>
      <w:r>
        <w:rPr>
          <w:sz w:val="20"/>
          <w:szCs w:val="20"/>
          <w:color w:val="auto"/>
        </w:rPr>
        <w:tab/>
      </w:r>
      <w:r>
        <w:rPr>
          <w:rFonts w:ascii="Times New Roman" w:cs="Times New Roman" w:eastAsia="Times New Roman" w:hAnsi="Times New Roman"/>
          <w:sz w:val="17"/>
          <w:szCs w:val="17"/>
          <w:b w:val="1"/>
          <w:bCs w:val="1"/>
          <w:color w:val="auto"/>
        </w:rPr>
        <w:t>by</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 shares of common stock</w:t>
      </w:r>
    </w:p>
    <w:p>
      <w:pPr>
        <w:spacing w:after="0" w:line="445" w:lineRule="exact"/>
        <w:rPr>
          <w:sz w:val="20"/>
          <w:szCs w:val="20"/>
          <w:color w:val="auto"/>
        </w:rPr>
      </w:pPr>
    </w:p>
    <w:p>
      <w:pPr>
        <w:sectPr>
          <w:pgSz w:w="11900" w:h="16838" w:orient="portrait"/>
          <w:cols w:equalWidth="0" w:num="2">
            <w:col w:w="2480" w:space="180"/>
            <w:col w:w="8300"/>
          </w:cols>
          <w:pgMar w:left="460" w:top="1116" w:right="4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36,849,901 shares of common stock (39,349,901 shares of common stock if the Pre-Funded Warrants are exercised)</w:t>
      </w:r>
    </w:p>
    <w:p>
      <w:pPr>
        <w:spacing w:after="0" w:line="158" w:lineRule="exact"/>
        <w:rPr>
          <w:sz w:val="20"/>
          <w:szCs w:val="20"/>
          <w:color w:val="auto"/>
        </w:rPr>
      </w:pPr>
    </w:p>
    <w:p>
      <w:pPr>
        <w:sectPr>
          <w:pgSz w:w="11900" w:h="16838" w:orient="portrait"/>
          <w:cols w:equalWidth="0" w:num="2">
            <w:col w:w="2100" w:space="560"/>
            <w:col w:w="8300"/>
          </w:cols>
          <w:pgMar w:left="460" w:top="111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offered by the selling stockholder. However, we will receive the proceeds of any cash exercise of the July 2024 PIPE Warrants. See “Use of Proceeds” for additional information.</w:t>
      </w:r>
    </w:p>
    <w:p>
      <w:pPr>
        <w:spacing w:after="0" w:line="172" w:lineRule="exact"/>
        <w:rPr>
          <w:sz w:val="20"/>
          <w:szCs w:val="20"/>
          <w:color w:val="auto"/>
        </w:rPr>
      </w:pPr>
    </w:p>
    <w:p>
      <w:pPr>
        <w:sectPr>
          <w:pgSz w:w="11900" w:h="16838" w:orient="portrait"/>
          <w:cols w:equalWidth="0" w:num="2">
            <w:col w:w="1940" w:space="720"/>
            <w:col w:w="8300"/>
          </w:cols>
          <w:pgMar w:left="460" w:top="111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Offering price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 may sell their shares of common stock pursuant to this prospectus through public transactions at prevailing market prices or at privately negotiated prices.</w:t>
      </w:r>
    </w:p>
    <w:p>
      <w:pPr>
        <w:spacing w:after="0" w:line="158" w:lineRule="exact"/>
        <w:rPr>
          <w:sz w:val="20"/>
          <w:szCs w:val="20"/>
          <w:color w:val="auto"/>
        </w:rPr>
      </w:pPr>
    </w:p>
    <w:p>
      <w:pPr>
        <w:sectPr>
          <w:pgSz w:w="11900" w:h="16838" w:orient="portrait"/>
          <w:cols w:equalWidth="0" w:num="2">
            <w:col w:w="1940" w:space="720"/>
            <w:col w:w="8300"/>
          </w:cols>
          <w:pgMar w:left="460" w:top="111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 consider carefully before deciding to invest in shares of our common stock.</w:t>
      </w:r>
    </w:p>
    <w:p>
      <w:pPr>
        <w:spacing w:after="0" w:line="158" w:lineRule="exact"/>
        <w:rPr>
          <w:sz w:val="20"/>
          <w:szCs w:val="20"/>
          <w:color w:val="auto"/>
        </w:rPr>
      </w:pPr>
    </w:p>
    <w:p>
      <w:pPr>
        <w:sectPr>
          <w:pgSz w:w="11900" w:h="16838" w:orient="portrait"/>
          <w:cols w:equalWidth="0" w:num="2">
            <w:col w:w="1940" w:space="720"/>
            <w:col w:w="8300"/>
          </w:cols>
          <w:pgMar w:left="460" w:top="111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“SERV”</w:t>
      </w:r>
    </w:p>
    <w:p>
      <w:pPr>
        <w:spacing w:after="0" w:line="200" w:lineRule="exact"/>
        <w:rPr>
          <w:sz w:val="20"/>
          <w:szCs w:val="20"/>
          <w:color w:val="auto"/>
        </w:rPr>
      </w:pPr>
    </w:p>
    <w:p>
      <w:pPr>
        <w:sectPr>
          <w:pgSz w:w="11900" w:h="16838" w:orient="portrait"/>
          <w:cols w:equalWidth="0" w:num="2">
            <w:col w:w="1940" w:space="720"/>
            <w:col w:w="8300"/>
          </w:cols>
          <w:pgMar w:left="460" w:top="1116" w:right="4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is based on an aggregate of 36,849,901 shares outstanding as of July 26, 2024, and excludes:</w:t>
      </w:r>
    </w:p>
    <w:p>
      <w:pPr>
        <w:spacing w:after="0" w:line="225" w:lineRule="exact"/>
        <w:rPr>
          <w:sz w:val="20"/>
          <w:szCs w:val="20"/>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shares of common stock issuable upon the exercise of the Pre-Funded Warrants with an exercise price of $0.0001 per share;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shares of common stock issuable upon the exercise of the Investor Warrants with an exercise price of $6.00 per share;</w:t>
      </w:r>
    </w:p>
    <w:p>
      <w:pPr>
        <w:spacing w:after="0" w:line="225" w:lineRule="exact"/>
        <w:rPr>
          <w:rFonts w:ascii="Times New Roman" w:cs="Times New Roman" w:eastAsia="Times New Roman" w:hAnsi="Times New Roman"/>
          <w:sz w:val="18"/>
          <w:szCs w:val="18"/>
          <w:color w:val="auto"/>
        </w:rPr>
      </w:pPr>
    </w:p>
    <w:p>
      <w:pPr>
        <w:jc w:val="both"/>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1,501,341 shares of common stock issuable upon the exercise of stock options outstanding as of March 31, 2024 that were subject to options originally granted under the Serve Robotics Inc. 2021 Stock Plan (the “2021 Plan”), with a weighted-average exercise price of $0.61 per share;</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1,327,994 shares of common stock available for issuance under the Serve Robotics Inc. 2023 Equity Incentive Plan (the “2023 Plan”) as of March 31, 2024;</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Warrants (as defined herein) to purchase an aggregate of 468,971 shares of our common stock with an exercise price of $3.20 per share as of March 31, 2024;</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Broker Warrants (as defined herein) to purchase an aggregate of 74,662 shares of our common stock with an exercise price of $3.20 per share as of March 31, 2024;</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A Warrants (as defined herein) to purchase an aggregate of 153,909 shares of our common stock with an exercise price of $4.00 per share as of March 31, 2024;</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B Warrants (as defined herein) to purchase an aggregate of 125,000 shares of our common stock with an exercise price of $0.001 per share as of March 31, 2024; and</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to purchase an aggregate of 142,730 shares of our common stock at the exercise price of $3.89 per share as of March 31, 2024 assumed by us in connection with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w:t>
      </w:r>
    </w:p>
    <w:p>
      <w:pPr>
        <w:spacing w:after="0" w:line="225" w:lineRule="exact"/>
        <w:rPr>
          <w:sz w:val="20"/>
          <w:szCs w:val="20"/>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10,000,000 shares of our common stock in the Public Offering in April 2024;</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outstanding options subsequent to March 31, 2024;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vesting of restricted stock unit awards subsequent to March 31,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16" w:right="47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been profitable to date, and we expect operating losses for the near future. During the three months ended March 31, 2024, we generated $0.9 million in revenue and incurred a net loss of $9.0 million. During the years ended December 31, 2023 and 2022, we generated revenue of $0.21 million and $0.11 million, respectively, and we incurred net losses of approximately $24.81 million and $21.86 million, respectively. There can be no assurance that we will not continue to incur net losses in the future. We may not succeed in expanding our customer base and product offerings and even if we do, we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 has issued a “going concern” opinion.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auditor has issued a “going concern” opinion on our financial statements, which means they are not sure that we will be able to succeed as a business without additional financing. For the year ended December 31, 2023, the date of our last audited financial statements,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$60.0 million in debt and equity financing from January 1, 2024 through July 26, 2024, our ongoing operational expenses are now approximately $2.4 million per month without yet generating any material corresponding revenue. Our failure to raise additional capital could have a negative impact on not only our financial condition but also our ability to execute our business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successfully.</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manufacturing partners and third-party contract manufacturers and/or expanding our internal manufacturing capabilities;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achieved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in our services, general economic conditions, our ability to market our company to companies, headcount and other operating costs and general industry and regulatory conditions and requirements. Our operating results may fluctuate from year to year due to the factors listed above and others not listed. At times, these fluctuations may be significant and could impact our ability to operate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concentrated with a limited number of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 is concentrated with a limited number of customers. During the three months ended March 31, 2024, one customer accounted for 90% of the Company’s revenue and accounted for 83% of the Company’s accounts receivable. In the same period in 2023, a different customer accounted for 50% of the Company’s revenue. There are inherent risks whenever a large percentage of total revenues are concentrated with a limited number of customers. If either of our significant customers were to breach, cancel or amend our agreements with them, it may have an outsized effect on our revenue, cash on hand and profitability. In addition, we may have an increased interest in accepting less favorable terms of any amendment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 in such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may be engaged in a range of business activities that could result in conflicts of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Buckly Jordan, currently serves as a director, officer or advisor to multiple companies, including Miso Robotics and Vebu Labs, that compete in our industry, robotics and automation.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and foreign currency exchange rates may adversely affect our financial condition, liquidity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and 2023, we experienced delays in supply chain deliveries, extended lead times and shortages of key components. Supply chain disruptions have delayed, and may continue to delay, the timing of production and maintenance of our robots, which in turn could negatively impact our business, results of operations and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For example, we recently appointed a new Chief Financial Officer, effective April 29, 2024, and there may be future changes to our executive management team resulting from the hiring or departure of executives, which could disrupt our business.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occupy a considerable amount of our management’s time and attention and damage our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plans rely on partnering with third-party delivery platforms, brand sponsors and/or direct sales to merchants.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best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service providers or disruptions to our outsourcing relationships may negatively impact our ability to conduct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robots operate in public spaces and any errors caused by human supervisors, network connectivity issues, third-party software or automation may adversely affect our commercial relationships.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attract and retain customers (including merchants, platform partners and brand sponsors) is heavily dependent on our ability to provide a safe and reliable service. Our safety and security track record has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could adversely impact our ability to continue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our products at a large scale and may not be able to do so efficiently or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could result in higher prices for those components, which in turn could increase the cost of manufacturing robots and result in an adverse financial impact to our delivery economics.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evolving regulations around PDDs could materially impact our business and growth prospects in new markets.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100-pound unladen weight restriction and the City of Santa Monica prohibits the operation of autonomous devices on sidewalks, that would require amending in order for us to expand into those jurisdictions.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(the “DOT”) and other regulatory bodies. Any failure to comply with the DOT’s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Content-based restrictions on outdoor advertising, which may include advertising featured on our sidewalk robots, by regulators may restrict the categories of content that we can display on our sidewalk robots.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Restrictions on outdoor advertising of certain products, services or other content are or may be imposed by laws and regulations in cities, counties or states. For example, tobacco products have been effectively banned from outdoor advertising in most U.S. jurisdictions. Further, certain municipalities may limit outdoor advertising. Content-based restrictions could cause a reduction in our content revenues by limiting the content partners we are able to provide advertising services to and, more broadly, such restrictions or any expanded restrictions could limit our ability to advertise on our sidewalk robots, which could have an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and inadequate disclosure of risks relating to the use of sidewalk robots, among other inherent risks,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robotic delivery systems on a large scale, coupled with the fact that our products represent a new product category in the commercial and robotic delivery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we may be forced to curtail or abandon our growth plans, which could adversely impact the Company, its business, development, financial condition, operating results or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8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lack of security of information or privacy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computer viruses or other damage to internet servers, users’ computers or mobile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governmental regulation;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delays due to actual or perceived limitations of wireless networks.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core products’ benefits to customers and projected return on investment have not been substantiated through long-term trials or use. We currently have a limited frame of reference by which to evaluate the performance of our robotic delivery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robotic delivery systems.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its lifecycle. If our systems, products, technologies and services and related equipment have shorter useful lives than we currently anticipate, this may lead to delays in increasing the rate of our follow-on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of which could have a material adverse effect on our business, prospects, financial condition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conditions and climate change could have a material adverse impact on our business by reducing the operating hours of our robots.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robots are designed to operate in the common environmental conditions in the markets in which we are deployed.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we believe in turn could expand our geographic reach, there is no guarantee that our efforts will successfully overcome all severe weather conditions.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went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w:t>
      </w:r>
    </w:p>
    <w:p>
      <w:pPr>
        <w:spacing w:after="0" w:line="27" w:lineRule="exact"/>
        <w:rPr>
          <w:sz w:val="20"/>
          <w:szCs w:val="20"/>
          <w:color w:val="auto"/>
        </w:rPr>
      </w:pPr>
    </w:p>
    <w:p>
      <w:pPr>
        <w:jc w:val="both"/>
        <w:ind w:firstLine="8"/>
        <w:spacing w:after="0" w:line="253" w:lineRule="auto"/>
        <w:tabs>
          <w:tab w:leader="none" w:pos="1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information and reporting requirements of the Securities Act, the Exchange Act and other federal securities laws, rules and regulations related thereto, including compliance with the Sarbanes-Oxley Act and the Dodd-Frank Wall Street Reform and Consumer Protection Act (the “Dodd-Frank Act”). In addition, the Nasdaq listing requirements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as a public company we are required to:</w:t>
      </w:r>
    </w:p>
    <w:p>
      <w:pPr>
        <w:spacing w:after="0" w:line="187"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will likely be volatile and as a result you may not be able to resell your shares at or above your purchase price.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if it develops, may not be sustained.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market price of our common stock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third parties on whom we rely to manufacture our products, product components and product candidates, including their ability to comply with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fluctuation in, the sales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our sales and marketing, manufacturing and other aspects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 and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significant contracts, acquisitions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competing products or other initiatives;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reimbursement developments in the United States and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economic conditions unrelated to our performance.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Principal Stockholders</w:t>
      </w:r>
      <w:r>
        <w:rPr>
          <w:rFonts w:ascii="Times New Roman" w:cs="Times New Roman" w:eastAsia="Times New Roman" w:hAnsi="Times New Roman"/>
          <w:sz w:val="18"/>
          <w:szCs w:val="18"/>
          <w:color w:val="auto"/>
        </w:rPr>
        <w:t>” below for more information regarding the ownership of our outstanding common stock by our principal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 by management is required to include disclosure of any material weaknesses identified in our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detect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these requirements,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early stages of developing the system and processing documentation necessary to perform the evaluation needed to comply with Section 404 and we may not be able to complete the required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elsewhere in this Registration Statement,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However, management concluded that as of December 31, 2023, we had material weaknesses in our internal controls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once required,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Nasdaq.</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status as an emerging growth company will end as soon as any of the following take place:</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$1.235 billion in annual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completion of the Merger.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amended and restated bylaws;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continue to be significantly impacted by the worldwide economic downturn due to pandemics, outbreaks of other contagious diseases and other catastrophic events.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Any of the foregoing factors, or other cascading effects of the pandemic that are not currently foreseeable, could adversely impact our business, financial performance and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MERGER, THE PRIVATE PLACEMENT, THE PUBLIC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JULY 2024 PIPE AND RELATED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offered and sold $3,001,500 principal amount of our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held greater than 5%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and the Private Placement (as defined herein),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120th day after the final closing of the Private Placement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Bridge Notes, Serve paid to Laidlaw &amp; Company (UK) Ltd. and Network 1 Financial Securities, Inc. (“Network 1,” and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Bridge Brokers were paid an aggregate commission of $239,400 and were entitled to be issued Bridge Broker Warrants to purchase an aggregate of 74,662 shares of our common stock. Serve also reimbursed them $25,000 for their legal and other expenses incurred in connection with the Bridge Financing.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descriptions of the Bridge Warrants and the Bridge Broker Warrants herein are qualified in their entirety by reference to the text thereof filed as exhibits hereto, which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Reverse Merger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Merger, we acquired the business of Serve, which designs, develops and operates an advanced, AI-powered robotics mobility platform, with last-mile delivery in cities as its first application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of the Merger (the “Merger Effective Time”), an aggregate of 3,500,000 shares of Company common stock owned by our stockholders prior to the Merger were forfeited and canceled.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Merger Agreement, (i) options to purchase 1,984,951 shares of Serve’s common stock issued and outstanding immediately prior to the closing of the Merger under the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SAFEs totaling $15,551,953 were converted into 4,372,613 shares of our common stock.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Merger Agreement contained customary representations and warranties and pre- and post-closing covenants of each party and customary closing conditions.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following the Merger Effective Time,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Private Placement were approximately $15.74 million (including the aggregate principal amount of Bridge Notes converted as described above, and before deducting placement agent fees and expenses of the Private Placement).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In addition, we issued to the holders of the Bridge Notes prior to their conversion, Bridge Warrants to purchase 468,971 shares of our common stock.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and subject to the closing of the Private Placement, we agreed to pay the placement agents, Aegis Capital Corp. (“Aegis”) and Network 1 (together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paid the Placement Agents an aggregate commission of $817,209 (not including the commission paid in connection with the sale of the Bridge Notes) and issued to them Placement Agent A Warrants to purchase 153,909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shares of our common stock issued as a result of the Share Conversion;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spacing w:after="0" w:line="251" w:lineRule="auto"/>
        <w:rPr>
          <w:sz w:val="20"/>
          <w:szCs w:val="20"/>
          <w:color w:val="auto"/>
        </w:rPr>
      </w:pPr>
      <w:r>
        <w:rPr>
          <w:rFonts w:ascii="Times New Roman" w:cs="Times New Roman" w:eastAsia="Times New Roman" w:hAnsi="Times New Roman"/>
          <w:sz w:val="18"/>
          <w:szCs w:val="18"/>
          <w:color w:val="auto"/>
        </w:rPr>
        <w:t>Subject to customary exceptions, if (i) we are late in filing the Registration Statement, (ii) the Registration Statement is not declared effective within 120 days after the final closing of the Private Placement (provided that such failure of the Registration Statement to be declared effective within one hundred twenty (120) calendar days is the result of any action or failure to act on the part of the Company) (the “Registration Effectiveness Date”), (iii) we fail to maintain the effectiveness of the Registration Statement, (iv)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(v) following the listing or inclusion for quotation on the OTC Markets, Nasdaq, the New York Stock Exchange (“NYSE”) or the NYSE American, trading of our common stock is suspended or halted for more than three full, consecutive trading days ((i)-(v)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(1) any Registrable Securities removed from the Registration Statement in response to a comment from the staff of the SEC limiting the number of shares of common stock which may be included in the Registration Statement (a “Cutback Comment”), (2) any Registrable Securities that may be resold without manner of sale restrictions, current information requirements, volume limitations or other limitations under Rule 144 or another exemption from registration under the Securities Act, (3) any Registrable Securities excluded from a registration statement because a holder fails to provide information concerning the holder and the manner of distribution of the holder’s Registrable Securities that is required by SEC rules to be disclosed, and (4) any circumstance in which the SEC does not declare the Registration Statement effective on or before 120 days after the final closing of the Private Placement, and the reason for the SEC’s determination is that (a) the offering of any of the Registrable Securities constitutes a primary offering of securities by the Company, (b) Rule 415 of the Securities Act may not be relied upon for the registration of the resale of any or all of the Registrable Securities, and/or (c) a holder of any Registrable Securities must be named as an underwriter and such holder does not consent to be so named in the Registration Statement. Notwithstanding the previous sentence, if the SEC does not declare the Registration Statement effective before the Registration Effectiveness Date, in certain circumstances we may still be liable for liquidated damages if we do not continue to use our commercially reasonable efforts at the first opportunity that is permitted by the SEC to register for resale all such Registrable Securities, using one or more registration statements that we are then entitled to use. Any cutback resulting from a Cutback Comment shall be applied to the Registrable Securities pro rata based on the total number of such shares held by or issuable to each holder thereof.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and (ii) such time that the Company notifies the stockholders that sales pursuant to the registration statement may resume.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agreed to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agreed to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2024, we entered into an underwriting agreement (the “Underwriting Agreement”) with Aegis, as the representative of the several underwriters named in Schedule I thereto (collectively, the “Underwriters”), in connection with the Public Offering of 10,000,000 shares of our common stock at a public offering price of $4.00 per share and concurrent uplisting to Nasdaq.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Public Offering on April 22, 2024, the Company issued to Aegis the Underwriter Warrant. The Underwriter Warrant will be exercisable at a per share exercise price equal to $5.00 and is exercisable at any time and from time to time, in whole or in part, commencing October 14, 2024. The Underwriter Warrant expires on April 17, 2029.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Underwriter Warrant also includes customary anti-dilution provisions and immediate piggyback registration rights with respect to the registration of the shares of Common Stock underlying the Underwriter Warrant.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Underwriter Warrant may not be sold, transferred, assigned, pledged or hypothecated for a period of 180 days following the date of the Underwriting Agreement to anyone other than to, (i) the Holder (as defined in the Underwriter Warrant) or an underwriter, placement agent, or a selected dealer participating in the Public Offering, or (ii) a bona fide officer or partner of the Holder or of any such underwriter, placement agent or selected dealer, in each case in accordance with FINRA Conduct Rule 5110(e)(1). In addition, during the same period, the securities issuable upon exercise of the Underwriter Warrant may not be the subject of any hedging, short sale, derivative, put or call transaction that would result in the effective economic disposition of the Underwriter Warrant or the securities thereunder, except as provided for in FINRA Rule 5110(e)(2).</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issuance of the Underwriter Warrant is exempt from registration under the Securities Act pursuant to Section 4(a)(2) of the Securities Act. Aegis represented to the Company that it is an “accredited investor” as defined in Rule 501 of the Securities Act and that the Underwriter Warrant is being acquired for investment purposes and not with a view to, or for sale in connection with, any distribution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1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 placement agent’s agreement, Network 1 served as the exclusive placement agent of our issuance of $5.0 million of convertible promissory notes (collectively, the “Notes” and the transactions contemplated by the Notes, the “Transaction”) to certain accredited investors in January 2024. In connection with the Transaction, we agreed to issue Network 1 (or its designated affiliates) warrants (the “Network 1 Warrants”) to purchase 10% of the shares of our common stock issued upon conversion of the Notes that were issued to investors Network 1 introduced to 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Public Offering, the Notes converted to shares of our common stock, and on April 22, 2024, we issued Network 1 the Network 1 Warrants to purchase up to 63,479 shares of our common stock at an exercise price of $2.42 per share. The Network 1 Warrants expire on April 17, 2029 and include customary anti-dilution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July 2024 PIPE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23, 2024, we entered into a Securities Purchase Agreement with Armistice for a private placement offering of the Pre-Funded Warrants and accompanying Investor Warrants. Pursuant to the Securities Purchase Agreement, we sold 2,500,000 Pre-Funded Warrants, with each Pre-Funded Warrant exercisable for one share of Common Stock, together with Investor Warrants to purchase up to 2,500,000 shares of Common Stock. Each Pre-Funded Warrant and accompanying Investor Warrant were sold together at a combined offering price of $5.9999. The July 2024 PIPE closed on July 24, 2024 (the “Closing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primarily for working capital and general corporate purposes.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$0.0001 per share, subject to adjustment and no expiration date. The Pre-Funded Warrants are exercisable immediately (subject to the Beneficial Ownership limitation as set forth in the Pre-Funded Warrant) and may be exercised at any time until all of the Pre-Funded Warrants are exercised in full.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Investor Warrants are exercisable for a period of five and a half years from the date of issuance (subject to the Beneficial Ownership limitation as set forth in the Investor Warrant) and has an exercise price of $6.00 per share, subject to adjustment as set forth in the Investor Warrant for stock splits, stock dividends, recapitalizations and similar customary adjustments. Armistice may exercise the Investor Warrant on a cashless basis if the shares of common stock underlying the Pre-Funded Warrants and the Investor Warrants (collectively, the “July 2024 PIPE Warrant Shares”), are not then registered pursuant to an effective registration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Armistice has contractually agreed to restrict its ability to exercise the July 2024 PIPE Warrants such that the number of shares of our common stock held by Armistice and its respective affiliates after such exercise does not exceed the Beneficial Ownership Limitation set forth in the July 2024 PIPE Warrants which may not exceed 4.99% (or 9.99%, at the election of Armistice) of our then issued and outstanding shares of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Securities Purchase Agreement, we entered into a registration rights agreement (the “July 2024 PIPE Registration Rights Agreement”), with Armistice. Pursuant to the July 2024 PIPE Registration Rights Agreement, we will be required to file this resale registration statement (the “July 2024 PIPE Registration Statement”) with the SEC to register for resale the July 2024 PIPE Warrant Shares within 15 days of the Closing Date and to have such July 2024 PIPE Registration Statement declared effective within 15 days after the Closing Date, or in the event of a limited or full review by the SEC, within 45 days after the Closing Date. We will be obligated to pay certain liquidated damages to the investor if we fail to file the July 2024 PIPE Registration Statement when required, fail to cause the July 2024 PIPE Registration Statement to be declared effective by the SEC when required or if we fail to maintain the effectiveness of the July 2024 PIPE Registration Statement. We filing this registration statement in satisfaction of its obligation to file a registration statement under the July 2024 PIPE Registration Rights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filing the registration statement of which this prospectus forms a part to permit holders of the shares of common stock described in the section entitled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to resell such shares. We will not receive any proceeds from the resale of any shares offered by this prospectus by the selling stockholder. However, we will receive the proceeds of any cash exercise of the July 2024 PIPE Warrants. If all of the Warrants were exercised for cash, we would receive aggregate proceeds of approximately $15.0 million. If we do receive any proceeds, we currently intend to use the proceeds for general corporate purposes, including working capital.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ind w:left="2240"/>
        <w:spacing w:after="0"/>
        <w:rPr>
          <w:sz w:val="20"/>
          <w:szCs w:val="20"/>
          <w:color w:val="auto"/>
        </w:rPr>
      </w:pPr>
      <w:r>
        <w:rPr>
          <w:rFonts w:ascii="Times New Roman" w:cs="Times New Roman" w:eastAsia="Times New Roman" w:hAnsi="Times New Roman"/>
          <w:sz w:val="18"/>
          <w:szCs w:val="18"/>
          <w:b w:val="1"/>
          <w:bCs w:val="1"/>
          <w:color w:val="auto"/>
        </w:rPr>
        <w:t>MARKET INFORMATION FOR OUR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Nasdaq under the ticker symbol “SERV”. On July 30, 2024, the closing price of our common stock was $15.00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26, 2024, we had 36,849,901 shares of common stock outstanding held by approximately 167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shaping the future of sustainable, self-driving delivery. We design, develop and operate low-emissions robots that serve people in public spaces, starting with food delivery. Starting in 2017, our core technology was developed by our co-founders and a majority of our product and engineering team in San Francisco, California as a special project within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in 2020, and in February of 2021, Uber’s leadership team agreed to contribute the intellectual property developed by the team and assets relating to this project. In return for this contribution and an investment of cash into the Company, Uber acquired a minority equity interest in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2023, Patricia Acquisition Corp., Serve Acquisition Corp., a corporation formed in the State of Delaware on July 10, 2023 (“Acquisition Sub”), and Serve entered into a Merger Agreement. Pursuant to the terms of the Merger Agreement,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Concurrently therewith, Serve’s predecessor was renamed Serve Operating Co. 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in connection with the public offering of 10,000,000 shares of the Company’s common stock at a public offering price of $4.00 per share (the “Public Offering”). The Company’s net proceeds from the Public Offering, after deducting the underwriting discount and other estimated offering expenses payable by the Company, were approximately $35.7 million. As a result of the Public Offering, the Company’s common stock commenced trading on Nasdaq under the ticker symbol “SERV”.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Public Offering on April 22, 2024, the Company issued to Aegis a warrant to purchase 500,000 shares of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r>
        <w:rPr>
          <w:rFonts w:ascii="Times New Roman" w:cs="Times New Roman" w:eastAsia="Times New Roman" w:hAnsi="Times New Roman"/>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 initial closing on January 2, 2024 and at subsequent closings on January 12, 2024, January 22, 2024 and January 26, 2024, the Company issued to certain accredited investors convertible promissory notes of $5,014,500, for which the Company received $4,844,625 in net proceeds (the “January Notes”). As a result, the Company incurred fees of $169,875 which was recorded as a debt discount in the unaudited condensed consolidated financial statements. The convertible promissory notes bore interest at a rate of 6.00% per year, compounded annually, and were due and payable upon request by each investor on or after the 12-month anniversary of the original issuance date of each note. The January Notes were required to convert to shares of common stock upon a qualified offering (as defined in the January Notes) at the lesser of the price paid per share multiplied by 75% or the quotient resulting from dividing $80,000,000 by the outstanding shares of common stock on a fully diluted basis immediately prior to the qualified offering.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closing of the Public Offering, the January Notes converted into 2,104,562 shares of common stock based upon a conversion price of $2.42 per share. Furthermore, the Company granted 63,479 warrants to purchase common stock to the placement agent of the January Notes at an exercise price of $2.42 per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Related Party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 The note bore interest at 7.67% per annum. The note was fully repaid on January 3,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Magna Warrant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MSA Effective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the Company issued to Magna the “Magna Warrant to purchase up to 2,145,000 shares of its common stock (the “Magna Warrant Shares”), subject to an exercise price of $0.01 per share. The Magna Warrant was issued pursuant to a production agreement executed in connection with the MSA between the parties in April 2024 whereby Magna will assist the Company in assembly of robotic delivery vehicles.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 (ii) the second tranche will became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Magna Warrant was $8,566,184 as of March 31, 2024 as determined using the Black-Scholes option pricing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 And Challenges Facing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industry factors that affect our business which include, among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Demand for Last-mile Delivery on Partner Platforms.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potential for growth depends significantly on continued demand for last-mile delivery of food and other items on our partner platforms. This demand can fluctuate based on various market cycles,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currently have a limited number of customers. During the three months ended March 31, 2024, one customer accounted for 90% of our revenue and accounted for 83% of our accounts receivable. In the same period in 2023, a different customer accounted for 50% of our revenue. If either of our significant customers were to breach, cancel or amend our agreements with them, it may have an outsized effect on our revenue, cash on hand and profitability. Our business development team is actively pursuing new delivery and branding customers to diversify our customer base.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Market Considerations; Availability of Materials, Labor &amp; Services.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potentially resulting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 mile delivery as labor becomes more expensive and drives up the cost of delivery by humans.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Constraints.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supply shortage of electrical components, including semiconductor chips and other hardware components essential to the manufacturing and maintenance of our robots, has continued to impact our supply chain throughout 2024. As a result, we experienced increases in our lead times and costs for certain components to build our robots.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and Regulatory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Future Prospects.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experience operating losses in 2024 and 2025 as we seek to implement our long-term strategic plan, using the net proceeds from the Public Offering to accelerate our development through increased research and development spending, scaling our robotic fleet, expanding our sales and business development efforts, and increasing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Our ability to initially achieve profitability is dependent upon numerous factors, including the development of revenues, general business and economic conditions, and 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currently consists of (1) delivery revenues, (2) revenues from branding and (3) revenues from software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its robots while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Operations expenses primarily consist of costs for field operations personnel.</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Costs incurred in the research and development of the Company’s products are expensed as incurred.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include product design, hardware and software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include personnel costs and public relations expenses. Advertising costs are expensed as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sales and marketing expenses.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primarily consist of personnel-related expenses for executive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stated rates of interest on financing instruments, fees incurred related to financing instruments or accretion of debt discounts.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Future Equity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simple agreements for future equity (“SAFEs”) relate to updated assumptions and estimates are recognized within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of other expenses, consists primarily of income generated from our interest-bearing deposit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generated revenues of $946,711 and $40,252, respectively, and reported net loss of $9,037,971 and $5,138,122,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an accumulated deficit of $77,372,352.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Three Months Ended March 31, 2024 and 2023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unaudited statements of operations during the three months ended March 31, 2024 and 2023, respectively,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352,438</w:t>
            </w:r>
          </w:p>
        </w:tc>
        <w:tc>
          <w:tcPr>
            <w:tcW w:w="30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367,261</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594,273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921,282</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1,008,071</w:t>
            </w:r>
          </w:p>
        </w:tc>
        <w:tc>
          <w:tcPr>
            <w:tcW w:w="3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1,015,987</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540,974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521,687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6,638,441</w:t>
            </w:r>
          </w:p>
        </w:tc>
        <w:tc>
          <w:tcPr>
            <w:tcW w:w="3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2,082,949</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4,555,492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118,236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279,582</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(161,346)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8,305,772</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3,900,205</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4,405,517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(7,711,449)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(4,227,214)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(3,484,235)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(1,326,522)</w:t>
            </w:r>
          </w:p>
        </w:tc>
        <w:tc>
          <w:tcPr>
            <w:tcW w:w="30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(910,908)</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(415,614)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(3,899,849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24,556,343</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6,708,450</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increased $0.91 million to $0.95 million for the three months ended March 31, 2024 from $0.04 million for the same period in 2023. The increase is due primarily to the $0.85 in revenues generated from the Company’s software services contract with Magna. The Company also recognized additional increases in delivery and branding revenues of $0.10 million for the three months ended March 31, 2024, compared to $0.04 million for the same period in 2023. The Magna services will be completed in Quarter 2 of 2024. Service revenue streams may be inconsistent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decreased $0.01 million to $0.35 million for the three months ended March 31, 2024, compared with $0.37 million for the same period in 2023 due primarily from a decrease in depreciation expense offset by incremental costs related to software service.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$0.01 million to $1.01 million for the three months ended March 31, 2024, from $1.02 million for the same period in 2023, due primarily to additional public company costs such as audit, legal, SEC filing fees and outside director compensation which were partially offset by a decrease in payroll costs due to a headcount reduction and decreased depreciation as a result of the impairment of the robot asset in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expenses increased $0.02 million to $0.54 million for the three months ended March 31, 2024, from $0.52 million for the same period in 2023, due primarily to an increase in facility costs such as rent, network and phone.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represent 80% and 53% of our total operating expenses for the three months ended March 31, 2024, and 2023, respectively, increased $4.55 million for the three months ended March 31, 2024 to $6.63 million, compared to $2.08 million for the same period in 2023. This increase was due primarily to stock compensation attributable to the Magna Warrant for $4.2 million, as well as increased operating expenses for headcount and software as the company executed its technology roadmap.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$0.16 million to $0.12 million for the three months ended March 31, 2024, from $0.28 million for the same period in 2023. For the three months ended March 31, 2023, the Company incurred a larger amount of advertising costs during their crowdfunding campaign and efforts which did not occur in the same period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$1.33 million for the three months ended March 31, 2024, was related to the debt from Silicon Valley Bank and the amortization of debt discount pertaining to the January Notes. Interest expense of $0.04 million for the three months ended March 31, 2023 was related to the amortization of debt discount from the Company’s March 2022 loan agreement with Silicon Valley Bank.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the SAFEs was $0 million for the three months ended March 31, 2024, compared with $0.87 million for the three months ended March 31, 2023. The decrease in expense is related to no longer having SAFE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Year ended December 31, 2023 and 2022</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statements of operations during the year ended December 31, 2023 and 2022, respectively,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207,545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1,148,426</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581,836</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3,786,124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832,375</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2,035,063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529,867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13,565,765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(3,618,507)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525,494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79,711</w:t>
            </w: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1,468,995</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(20,953,053)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225,449</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(636,330)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(1,628,096)</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(149,000)</w:t>
            </w: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(265,744)</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(1,406,962)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(24,813,736)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(21,855,127)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(2,958,609)</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6,896,769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$0.21 million for the year ended December 31, 2023, compared with $0.11 million for the year ended December 31, 2022. The increase was because 2023 had a full year of operations, whereas 2022 had partial year, which resulted in more delivery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was $1.73 million for the year ended December 31, 2023, compared with $1.15 million for the year ended December 31, 2022. The increase was because 2023 had a full year of operations, whereas 2022 had partial year, which resulted in more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expense increased $0.53 million to $2.56 million for the year ended December 31, 2023, compared with $2.04 million for the year ended December 31, 2022, due primarily to servicing the larger scale of the robot fleet.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$0.08 million to $0.61 million for the year ended December 31, 2023 from $0.53 million for the year ended December 31, 2022, due primarily to an increase in personnel costs and public relations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 decreased $0.71 million to $19.20 million for the year ended December 31, 2023 from $19.91 million for the year ended December 31, 2022, due primarily to a reduction in workforce effective December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were $4.09 million and $0.9 million for each of the years ended December 31, 2023 and 2022, respectively primarily due to the increases in interest expense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business plans, and make strategic decisions: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Daily Active Robots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Daily Supply Hours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Active Robots: </w:t>
      </w:r>
      <w:r>
        <w:rPr>
          <w:rFonts w:ascii="Times New Roman" w:cs="Times New Roman" w:eastAsia="Times New Roman" w:hAnsi="Times New Roman"/>
          <w:sz w:val="18"/>
          <w:szCs w:val="18"/>
          <w:color w:val="auto"/>
        </w:rPr>
        <w:t>We define daily active robots as the average number of robots performing daily deliveries during the period. Daily active robots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Supply Hours: </w:t>
      </w:r>
      <w:r>
        <w:rPr>
          <w:rFonts w:ascii="Times New Roman" w:cs="Times New Roman" w:eastAsia="Times New Roman" w:hAnsi="Times New Roman"/>
          <w:sz w:val="18"/>
          <w:szCs w:val="18"/>
          <w:color w:val="auto"/>
        </w:rPr>
        <w:t>We define daily supply hours as the average number of hours our robots are ready to accept offers and perform daily deliveries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generated by financing activities are our primary source of liquidity. As of March 31, 2024, we had $0.43 million in cash and cash equivalents. Cash and cash equivalents consist of highly liquid investments with original maturities of 90 days or less at the time of purchase, other than those held for sale in the ordinary course of business.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in connection with the public offering of 10,000,000 shares of the Company’s common stock at a public offering price of $4.00 per share. The Company’s net proceeds from the Public Offering, after deducting the underwriting discount and other estimated offering expenses payable by the Company, were approximately $35.7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adequate capital to fund operating losses until we can generate liquidity from our business operations.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our cash and cash equivalents were $0.43 million. The following table shows a summary of our cash flows for the periods presented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9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94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financing activities</w:t>
            </w:r>
          </w:p>
        </w:tc>
        <w:tc>
          <w:tcPr>
            <w:tcW w:w="3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655"/>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$4.08 million and $3.71 million for the three months ended March 31, 2024, and 2023, respectively. The increase of $0.36 million was primarily due to changes in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minimal for the three months ended March 31,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$4.50 million and $1.86 million for the three months ended March 31, 2024, and 2023, respectively. In 2024, the Company received net proceeds of $4.84 million from the January Notes, partially offset by repayments of lease liability for Silicon Valley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entered into a term loan with Silicon Valley Bank for gross proceeds of $2.50 million with a maturity date of March 1, 2025. The loan accrues interest at the greater of 3.25% per annum or prime rate. Principal payments commenced on October 1, 2022, and the loan is repayable in 30 equal installments of principal and accrued interest.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we entered into an equipment financing lease agreement with Farnam Street Financial, Inc. (“Farnam”) commencing November 2022, for the cost of building robots, calling for 24 monthly payments of approximately $0.19 million based on an expected total cost of $4.46 million of robot parts and manufacturing costs. In December 2023, the agreement was modified to require three monthly repayments of approximately $0.03 million each and 12 monthly repayments of approximately $0.19 million each, subject to certain terms and effective in January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disclosed in our 2023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Merger Effective Time, (i) Grassi &amp; Co., CPAs, P.C. (“Grassi”), was dismissed as the independent registered public accounting firm of the Company and (ii) 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Operating Co. was incorporated in the State of Delaware on January 15, 2021. Serve is a spin-off of Uber, a global ride-hailing and last-mile delivery platform. The Serve initiative was initially formed in 2017 as the X division of Postmates, a pioneering food delivery startup in the United States. Uber acquired Postmates in 2020, including the Postmates X division.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beginning of 2021, Uber’s leadership agreed to contribute the intellectual property developed by the Postmates X division team, the related assets, as well as a capital investment to Serve in return for a minority equity interest in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glossary of technical terms used in this prospectus: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AI — </w:t>
      </w:r>
      <w:r>
        <w:rPr>
          <w:rFonts w:ascii="Times New Roman" w:cs="Times New Roman" w:eastAsia="Times New Roman" w:hAnsi="Times New Roman"/>
          <w:sz w:val="18"/>
          <w:szCs w:val="18"/>
          <w:color w:val="auto"/>
        </w:rPr>
        <w:t>Artificial Intelligence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AV — </w:t>
      </w:r>
      <w:r>
        <w:rPr>
          <w:rFonts w:ascii="Times New Roman" w:cs="Times New Roman" w:eastAsia="Times New Roman" w:hAnsi="Times New Roman"/>
          <w:sz w:val="18"/>
          <w:szCs w:val="18"/>
          <w:color w:val="auto"/>
        </w:rPr>
        <w:t>Autonomous Vehicle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GHG — </w:t>
      </w:r>
      <w:r>
        <w:rPr>
          <w:rFonts w:ascii="Times New Roman" w:cs="Times New Roman" w:eastAsia="Times New Roman" w:hAnsi="Times New Roman"/>
          <w:sz w:val="18"/>
          <w:szCs w:val="18"/>
          <w:color w:val="auto"/>
        </w:rPr>
        <w:t>Greenhouse Gases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GPS — </w:t>
      </w:r>
      <w:r>
        <w:rPr>
          <w:rFonts w:ascii="Times New Roman" w:cs="Times New Roman" w:eastAsia="Times New Roman" w:hAnsi="Times New Roman"/>
          <w:sz w:val="18"/>
          <w:szCs w:val="18"/>
          <w:color w:val="auto"/>
        </w:rPr>
        <w:t>Global Positioning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GPU — </w:t>
      </w:r>
      <w:r>
        <w:rPr>
          <w:rFonts w:ascii="Times New Roman" w:cs="Times New Roman" w:eastAsia="Times New Roman" w:hAnsi="Times New Roman"/>
          <w:sz w:val="18"/>
          <w:szCs w:val="18"/>
          <w:color w:val="auto"/>
        </w:rPr>
        <w:t>Graphical Processing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IMU — </w:t>
      </w:r>
      <w:r>
        <w:rPr>
          <w:rFonts w:ascii="Times New Roman" w:cs="Times New Roman" w:eastAsia="Times New Roman" w:hAnsi="Times New Roman"/>
          <w:sz w:val="18"/>
          <w:szCs w:val="18"/>
          <w:color w:val="auto"/>
        </w:rPr>
        <w:t>Inertial Measurement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LIDAR — </w:t>
      </w:r>
      <w:r>
        <w:rPr>
          <w:rFonts w:ascii="Times New Roman" w:cs="Times New Roman" w:eastAsia="Times New Roman" w:hAnsi="Times New Roman"/>
          <w:sz w:val="18"/>
          <w:szCs w:val="18"/>
          <w:color w:val="auto"/>
        </w:rPr>
        <w:t>A digital sensor for measuring distance to objects which uses the principle of radar, but uses light from a laser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ODD — </w:t>
      </w:r>
      <w:r>
        <w:rPr>
          <w:rFonts w:ascii="Times New Roman" w:cs="Times New Roman" w:eastAsia="Times New Roman" w:hAnsi="Times New Roman"/>
          <w:sz w:val="18"/>
          <w:szCs w:val="18"/>
          <w:color w:val="auto"/>
        </w:rPr>
        <w:t>Operating Design Domain describes the specific operating conditions in which the automated driving system is designed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including but not limited to roadway types, speed range and environmental conditions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Reverse Logistics — </w:t>
      </w:r>
      <w:r>
        <w:rPr>
          <w:rFonts w:ascii="Times New Roman" w:cs="Times New Roman" w:eastAsia="Times New Roman" w:hAnsi="Times New Roman"/>
          <w:sz w:val="18"/>
          <w:szCs w:val="18"/>
          <w:color w:val="auto"/>
        </w:rPr>
        <w:t>A type of supply chain management that moves goods from customers back to the sellers or manufacturers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Serve’s first product is a low-emissions robot that serves people in public spaces, starting with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Serve’s current fleet consists of over 100 robots, and we plan to expand our fleet by building and deploying hundreds of new robots in the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in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Last-Mile Delivery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new technological innovations of the past few decades as well as growing adoption of online commerce and home delivery, last-mile delivery has remained costly and inefficient. From 2020 to 2023, DoorDash, Inc., the largest food delivery platform in the United States, reported nearly 200% in revenue growth, while cost of revenue increased 235% over that four-year period. By our own estimate, in addition to cost of labor, issues such as fraud and refunds caused by driver error (for example, failed deliveries or missing items) increase average delivery cost of couriers by over $1.00 per delivery.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on-demand delivery, next-day parcel delivery has also struggled with last-mile cost. For example, in May 2023, Amazon announced a program to reduce its delivery costs by offering certain customers $10 to pick up items from nearby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Tailwinds for Automation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an ever-growing share of consumers is shopping online and demanding faster deliveries, a number of factors have contributed to keeping last-mile costs high:</w:t>
      </w:r>
    </w:p>
    <w:p>
      <w:pPr>
        <w:spacing w:after="0" w:line="162" w:lineRule="exact"/>
        <w:rPr>
          <w:sz w:val="20"/>
          <w:szCs w:val="20"/>
          <w:color w:val="auto"/>
        </w:rPr>
      </w:pPr>
    </w:p>
    <w:p>
      <w:pPr>
        <w:ind w:left="5540" w:right="3020" w:hanging="5208"/>
        <w:spacing w:after="0" w:line="783" w:lineRule="auto"/>
        <w:tabs>
          <w:tab w:leader="none" w:pos="6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caused by the aging population and the COVID-19 pandemic have led to wage inflation.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delivery companies in many jurisdictions are battling regulatory pressures to classify gig workers as employees, which would in turn increase labor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recently, cities across the United States have introduced maximum limits on how much delivery platforms can charge restaurants and merchants, highlighting the need to lower underlying delivery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as artificial intelligence algorithms become more capable and less expensive and mobile networks become faster and more reliable with higher bandwidth and geographic coverage, which together we believe will lead to a downward trend in the cost of building and operating robots and serve as additional tailwinds for the adoption of robots.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Robots, Aerial Drones and Autonomous Vehicles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have the potential to lead to a similar proliferation of robots for every existing vehicle.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automation is introduced, we believe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 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while aerial drones may provide a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delivery robots, aerial drones and AVs are each efficacious for deliveries with different attributes, and all three can work collaboratively to create a more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Delivery Robot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night, robots return to their central hub to be recharged, maintained, upgraded when necessary and prepared for the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robots have inherent limitations on how much cargo they can carry and how quickly they can move given the constraints of the sidewalk environment. Current Serve robots carry up to 13 gallons of cargo and can move at a maximum speed of 7 mph. This imposes limits on addressable deliveries, travel time and rate of utilization of robots. For example, due to their speed, delivery robots are best suited for short-distance deliveries, though approximately half of food deliveries in the United States are under 2.5 miles and thus within the delivery range of sidewalk robots. Assuming a target customer delivery wait time of approximately 30 minutes, food delivery robots operating 12 hours per day could perform a maximum of 20 to 30 deliveries per day, depending on the rate of batched deliveries.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robots’ touchscreen.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Robotic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automation decreases the cost of last-mile delivery and leads to increased adoption, we anticipate opportunities for impact over the long term:</w:t>
      </w:r>
    </w:p>
    <w:p>
      <w:pPr>
        <w:spacing w:after="0" w:line="22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GHG Emissions</w:t>
      </w:r>
      <w:r>
        <w:rPr>
          <w:rFonts w:ascii="Times New Roman" w:cs="Times New Roman" w:eastAsia="Times New Roman" w:hAnsi="Times New Roman"/>
          <w:sz w:val="18"/>
          <w:szCs w:val="18"/>
          <w:color w:val="auto"/>
        </w:rPr>
        <w:t>: We believe robots and drones can reduce emissions caused by large vehicles used today for moving small packages.</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Delivery Costs</w:t>
      </w:r>
      <w:r>
        <w:rPr>
          <w:rFonts w:ascii="Times New Roman" w:cs="Times New Roman" w:eastAsia="Times New Roman" w:hAnsi="Times New Roman"/>
          <w:sz w:val="18"/>
          <w:szCs w:val="18"/>
          <w:color w:val="auto"/>
        </w:rPr>
        <w:t>: While all automated delivery vehicles still require a certain amount of human involvement (for example, in loading,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unloading, maintenance and remote supervision), we believe labor is leveraged more efficiently resulting in more deliveries per unit of human effort. Just as automation has done in the past, it is expected that this will reduce delivery costs.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On-Demand Adoption</w:t>
      </w:r>
      <w:r>
        <w:rPr>
          <w:rFonts w:ascii="Times New Roman" w:cs="Times New Roman" w:eastAsia="Times New Roman" w:hAnsi="Times New Roman"/>
          <w:sz w:val="18"/>
          <w:szCs w:val="18"/>
          <w:color w:val="auto"/>
        </w:rPr>
        <w:t>: On-demand services are largely luxuries afforded by affluent consumers today. We believe reducing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could make home delivery services affordable to more people.</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Easier Reverse Logistics</w:t>
      </w:r>
      <w:r>
        <w:rPr>
          <w:rFonts w:ascii="Times New Roman" w:cs="Times New Roman" w:eastAsia="Times New Roman" w:hAnsi="Times New Roman"/>
          <w:sz w:val="18"/>
          <w:szCs w:val="18"/>
          <w:color w:val="auto"/>
        </w:rPr>
        <w:t>: We believe reducing the cost for last-mile transportation is likely to increase adoption of reverse logistics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(e.g., more convenient package returns).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Local Commerce</w:t>
      </w:r>
      <w:r>
        <w:rPr>
          <w:rFonts w:ascii="Times New Roman" w:cs="Times New Roman" w:eastAsia="Times New Roman" w:hAnsi="Times New Roman"/>
          <w:sz w:val="18"/>
          <w:szCs w:val="18"/>
          <w:color w:val="auto"/>
        </w:rPr>
        <w:t>: We believe that the increased adoption of home delivery will result in more commerce for local businesses.</w:t>
      </w:r>
    </w:p>
    <w:p>
      <w:pPr>
        <w:spacing w:after="0" w:line="22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Local Jobs</w:t>
      </w:r>
      <w:r>
        <w:rPr>
          <w:rFonts w:ascii="Times New Roman" w:cs="Times New Roman" w:eastAsia="Times New Roman" w:hAnsi="Times New Roman"/>
          <w:sz w:val="18"/>
          <w:szCs w:val="18"/>
          <w:color w:val="auto"/>
        </w:rPr>
        <w:t>: We believe increased delivery and local commerce activities resulting from reduction in cost of delivery could lead to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jobs, ranging from increased staffing of local businesses, logistics operators who enable automated delivery networks to function and human couriers who perform deliveries that automated services cannot perform.</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Higher Delivery Quality</w:t>
      </w:r>
      <w:r>
        <w:rPr>
          <w:rFonts w:ascii="Times New Roman" w:cs="Times New Roman" w:eastAsia="Times New Roman" w:hAnsi="Times New Roman"/>
          <w:sz w:val="18"/>
          <w:szCs w:val="18"/>
          <w:color w:val="auto"/>
        </w:rPr>
        <w:t>: Like most automated systems, robots are less prone to error. For example, customers of food delivery platforms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missing items, mistaken orders and lost or missed deliveries altogether. Robots promise to reduce such errors, creating what has the potential to be a better experience for customers and merchants alike.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Safer Roads</w:t>
      </w:r>
      <w:r>
        <w:rPr>
          <w:rFonts w:ascii="Times New Roman" w:cs="Times New Roman" w:eastAsia="Times New Roman" w:hAnsi="Times New Roman"/>
          <w:sz w:val="18"/>
          <w:szCs w:val="18"/>
          <w:color w:val="auto"/>
        </w:rPr>
        <w:t>: According to a study by the National Highway Traffic Safety Administration (the “NHTSA”) from December 2023,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7,388 pedestrians and 966 cyclists killed in motor vehicle crashes in 2021 in the United States. This represents an average of over 20 pedestrian fatalities and 2.5 cyclist fatalities per day and a 13% increase in pedestrian deaths and a 3% increase in 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p>
      <w:pPr>
        <w:spacing w:after="0" w:line="18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Friendlier Cities</w:t>
      </w:r>
      <w:r>
        <w:rPr>
          <w:rFonts w:ascii="Times New Roman" w:cs="Times New Roman" w:eastAsia="Times New Roman" w:hAnsi="Times New Roman"/>
          <w:sz w:val="18"/>
          <w:szCs w:val="18"/>
          <w:color w:val="auto"/>
        </w:rPr>
        <w:t>: Based on a University of Michigan report from 2010, it is estimated that as much as one half of city land area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is dedicated to streets, parking lots, driveways and other car-related uses. With mass adoption of automated last-mile delivery vehicles, such as robots and drones, more spaces in cities can be reclaimed from vehicles and used to create social and green spaces.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robotic technology has been developed based on the following key principles:</w:t>
      </w:r>
    </w:p>
    <w:p>
      <w:pPr>
        <w:spacing w:after="0" w:line="221" w:lineRule="exact"/>
        <w:rPr>
          <w:sz w:val="20"/>
          <w:szCs w:val="20"/>
          <w:color w:val="auto"/>
        </w:rPr>
      </w:pPr>
    </w:p>
    <w:p>
      <w:pPr>
        <w:jc w:val="both"/>
        <w:ind w:left="660" w:hanging="328"/>
        <w:spacing w:after="0" w:line="26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Humans and Machines</w:t>
      </w:r>
      <w:r>
        <w:rPr>
          <w:rFonts w:ascii="Times New Roman" w:cs="Times New Roman" w:eastAsia="Times New Roman" w:hAnsi="Times New Roman"/>
          <w:sz w:val="18"/>
          <w:szCs w:val="18"/>
          <w:color w:val="auto"/>
        </w:rPr>
        <w:t>: We believe that the most effective way to quickly unleash the benefits of AI and autonomy in our lives is by designing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ind w:left="6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Labor-Optimized: </w:t>
      </w:r>
      <w:r>
        <w:rPr>
          <w:rFonts w:ascii="Times New Roman" w:cs="Times New Roman" w:eastAsia="Times New Roman" w:hAnsi="Times New Roman"/>
          <w:sz w:val="18"/>
          <w:szCs w:val="18"/>
          <w:color w:val="auto"/>
        </w:rPr>
        <w:t>We believe the cost of advanced sensors and hardware will continue to decrease over the coming years, and optimizing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costs can be premature and an investment with diminishing long-term returns. Instead, we have continued to innovate by designing highly capable hardware and software solutions for robotic last-mile delivery that optimize against the largest cost of delivery: labor.</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Robots Among People</w:t>
      </w:r>
      <w:r>
        <w:rPr>
          <w:rFonts w:ascii="Times New Roman" w:cs="Times New Roman" w:eastAsia="Times New Roman" w:hAnsi="Times New Roman"/>
          <w:sz w:val="18"/>
          <w:szCs w:val="18"/>
          <w:color w:val="auto"/>
        </w:rPr>
        <w:t>: We believe that building world-class hardware, software, AI and autonomy for robots to share spaces with people is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positioned to build market value and create a lasting legacy.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Robotic Platform</w:t>
      </w:r>
      <w:r>
        <w:rPr>
          <w:rFonts w:ascii="Times New Roman" w:cs="Times New Roman" w:eastAsia="Times New Roman" w:hAnsi="Times New Roman"/>
          <w:sz w:val="18"/>
          <w:szCs w:val="18"/>
          <w:color w:val="auto"/>
        </w:rPr>
        <w:t>: Our mission is to build a superior robotic platform that can accelerate the adoption of robotic solutions beyond last-mile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highlights of our approach to technology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154305</wp:posOffset>
            </wp:positionV>
            <wp:extent cx="6883400" cy="3686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83400"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Intelligence </w:t>
      </w:r>
      <w:r>
        <w:rPr>
          <w:rFonts w:ascii="Times New Roman" w:cs="Times New Roman" w:eastAsia="Times New Roman" w:hAnsi="Times New Roman"/>
          <w:sz w:val="18"/>
          <w:szCs w:val="18"/>
          <w:color w:val="auto"/>
        </w:rPr>
        <w:t>— AI empowers Serve robots to navigate city sidewalks and interact with their environment safely and efficiently. We use the latest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methodologies to design, train and deploy a host of models on Serve robots.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our AI models are used to perform a variety of tasks, including identification of sidewalk surfaces, intersections, traffic signals, obstacles, pedestrians and vehicles and projecting the trajectory of other dynamic agents.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4 Autonomy </w:t>
      </w:r>
      <w:r>
        <w:rPr>
          <w:rFonts w:ascii="Times New Roman" w:cs="Times New Roman" w:eastAsia="Times New Roman" w:hAnsi="Times New Roman"/>
          <w:sz w:val="18"/>
          <w:szCs w:val="18"/>
          <w:color w:val="auto"/>
        </w:rPr>
        <w:t>— In January 2022, we announced the deployment of a new generation of delivery robots capable of operating at Level 4 autonomy.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 Achieving Level 4 autonomy required Serve robots to maintain safety even when operating without supervision. As such, 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robust onboard safety systems that rely heavily on Serve’s advanced sensors and AI capabilities. This significantly reduces the possibility of collisions even when the robots are being supervised.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spacing w:after="0" w:line="176" w:lineRule="exact"/>
        <w:rPr>
          <w:sz w:val="20"/>
          <w:szCs w:val="20"/>
          <w:color w:val="auto"/>
        </w:rPr>
      </w:pPr>
    </w:p>
    <w:p>
      <w:pPr>
        <w:ind w:left="66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emergency braking</w:t>
      </w:r>
      <w:r>
        <w:rPr>
          <w:rFonts w:ascii="Times New Roman" w:cs="Times New Roman" w:eastAsia="Times New Roman" w:hAnsi="Times New Roman"/>
          <w:sz w:val="18"/>
          <w:szCs w:val="18"/>
          <w:color w:val="auto"/>
        </w:rPr>
        <w:t>: If a remote supervisor mistakenly puts a robot at risk of collision, the robot will automatically override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supervisor and come to a stop.</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Vehicle collision avoidance</w:t>
      </w:r>
      <w:r>
        <w:rPr>
          <w:rFonts w:ascii="Times New Roman" w:cs="Times New Roman" w:eastAsia="Times New Roman" w:hAnsi="Times New Roman"/>
          <w:sz w:val="18"/>
          <w:szCs w:val="18"/>
          <w:color w:val="auto"/>
        </w:rPr>
        <w:t>: While Serve robots and their remote supervisors are trained to ensure legal and safe crossing of intersections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Fail-safe mechanical braking</w:t>
      </w:r>
      <w:r>
        <w:rPr>
          <w:rFonts w:ascii="Times New Roman" w:cs="Times New Roman" w:eastAsia="Times New Roman" w:hAnsi="Times New Roman"/>
          <w:sz w:val="18"/>
          <w:szCs w:val="18"/>
          <w:color w:val="auto"/>
        </w:rPr>
        <w:t>: We believe another unique and innovative capability of Serve robots is their fail-safe emergency braking.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how reliable and well tested, batteries, electronics and computer systems occasionally fail. During any such failures, Serve robots automatically come to a full stop through a mechanically designed fail-safe braking system. Some robots used by competitors solely rely on electronic braking, which can become ineffective during power or computer failures.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 Design </w:t>
      </w:r>
      <w:r>
        <w:rPr>
          <w:rFonts w:ascii="Times New Roman" w:cs="Times New Roman" w:eastAsia="Times New Roman" w:hAnsi="Times New Roman"/>
          <w:sz w:val="18"/>
          <w:szCs w:val="18"/>
          <w:color w:val="auto"/>
        </w:rPr>
        <w:t>— As a division of Postmates during Serve’s inception, we had access to millions of historical delivery records. This enabled us to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robots from the ground up based on proprietary insights about last-mile delivery.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2368550</wp:posOffset>
            </wp:positionH>
            <wp:positionV relativeFrom="page">
              <wp:posOffset>568960</wp:posOffset>
            </wp:positionV>
            <wp:extent cx="2888615" cy="140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8861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Serve robots consist of a number of key systems:</w:t>
      </w:r>
    </w:p>
    <w:p>
      <w:pPr>
        <w:spacing w:after="0" w:line="221" w:lineRule="exact"/>
        <w:rPr>
          <w:sz w:val="20"/>
          <w:szCs w:val="20"/>
          <w:color w:val="auto"/>
        </w:rPr>
      </w:pPr>
    </w:p>
    <w:p>
      <w:pPr>
        <w:ind w:left="660" w:hanging="328"/>
        <w:spacing w:after="0" w:line="28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Drivetrain</w:t>
      </w:r>
      <w:r>
        <w:rPr>
          <w:rFonts w:ascii="Times New Roman" w:cs="Times New Roman" w:eastAsia="Times New Roman" w:hAnsi="Times New Roman"/>
          <w:sz w:val="18"/>
          <w:szCs w:val="18"/>
          <w:color w:val="auto"/>
        </w:rPr>
        <w:t>: Serve’s innovative four-wheel drive system is custom-made for navigating city sidewalks. It includes Ackerman steering similar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vehicles, emergency fail-safe braking and a bogie suspension mechanism. Our unique design is a result of years of iteration and field testing.</w:t>
      </w:r>
    </w:p>
    <w:p>
      <w:pPr>
        <w:spacing w:after="0" w:line="158"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bogie design was inspired by the suspension arrangement first developed by NASA in 1988 for the Mars rover Sojourner. Since then, NASA has used similar designs in Mars rovers </w:t>
      </w:r>
      <w:r>
        <w:rPr>
          <w:rFonts w:ascii="Times New Roman" w:cs="Times New Roman" w:eastAsia="Times New Roman" w:hAnsi="Times New Roman"/>
          <w:sz w:val="18"/>
          <w:szCs w:val="18"/>
          <w:i w:val="1"/>
          <w:iCs w:val="1"/>
          <w:color w:val="auto"/>
        </w:rPr>
        <w:t>Spirit,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Curiosity</w:t>
      </w:r>
      <w:r>
        <w:rPr>
          <w:rFonts w:ascii="Times New Roman" w:cs="Times New Roman" w:eastAsia="Times New Roman" w:hAnsi="Times New Roman"/>
          <w:sz w:val="18"/>
          <w:szCs w:val="18"/>
          <w:color w:val="auto"/>
        </w:rPr>
        <w:t xml:space="preserve"> and, most recently, </w:t>
      </w:r>
      <w:r>
        <w:rPr>
          <w:rFonts w:ascii="Times New Roman" w:cs="Times New Roman" w:eastAsia="Times New Roman" w:hAnsi="Times New Roman"/>
          <w:sz w:val="18"/>
          <w:szCs w:val="18"/>
          <w:i w:val="1"/>
          <w:iCs w:val="1"/>
          <w:color w:val="auto"/>
        </w:rPr>
        <w:t>Perseverance.</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System</w:t>
      </w:r>
      <w:r>
        <w:rPr>
          <w:rFonts w:ascii="Times New Roman" w:cs="Times New Roman" w:eastAsia="Times New Roman" w:hAnsi="Times New Roman"/>
          <w:sz w:val="18"/>
          <w:szCs w:val="18"/>
          <w:color w:val="auto"/>
        </w:rPr>
        <w:t>: Serve’s custom designed power distribution system and redundant batteries enable it to operate reliably from morning to night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requiring charging or battery swaps. Robots charge within a few hours upon returning to their home station at night.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w:t>
      </w:r>
      <w:r>
        <w:rPr>
          <w:rFonts w:ascii="Times New Roman" w:cs="Times New Roman" w:eastAsia="Times New Roman" w:hAnsi="Times New Roman"/>
          <w:sz w:val="18"/>
          <w:szCs w:val="18"/>
          <w:color w:val="auto"/>
        </w:rPr>
        <w:t>: Serve robots include redundant LTE modems and antennas that ensure they can consistently connect to cloud services used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dispatch and route their movements, as well as be monitored by remote supervisors.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Sensing &amp; Compute</w:t>
      </w:r>
      <w:r>
        <w:rPr>
          <w:rFonts w:ascii="Times New Roman" w:cs="Times New Roman" w:eastAsia="Times New Roman" w:hAnsi="Times New Roman"/>
          <w:sz w:val="18"/>
          <w:szCs w:val="18"/>
          <w:color w:val="auto"/>
        </w:rPr>
        <w:t>: Serve robots are equipped with an array of cameras, ultrasonic sensors, a pair of stereo cameras, an infrared-based depth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 GPS sensors, IMUs and a 360-degrees LIDAR sensor. Additionally, the robots use multiple CPU and GPU chips to process sensor information, run AI models, perform actions, interact with pedestrians and connect to the internet.</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Secured Cargo</w:t>
      </w:r>
      <w:r>
        <w:rPr>
          <w:rFonts w:ascii="Times New Roman" w:cs="Times New Roman" w:eastAsia="Times New Roman" w:hAnsi="Times New Roman"/>
          <w:sz w:val="18"/>
          <w:szCs w:val="18"/>
          <w:color w:val="auto"/>
        </w:rPr>
        <w:t>: Serve’s cargo bin is designed for maximum capacity, ease of use, customizability and operational efficiency. The bin fits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Display and Lights</w:t>
      </w:r>
      <w:r>
        <w:rPr>
          <w:rFonts w:ascii="Times New Roman" w:cs="Times New Roman" w:eastAsia="Times New Roman" w:hAnsi="Times New Roman"/>
          <w:sz w:val="18"/>
          <w:szCs w:val="18"/>
          <w:color w:val="auto"/>
        </w:rPr>
        <w:t>: In order to create a user-friendly experience for merchants and customers that requires no training or onboarding,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Stage of Development </w:t>
      </w:r>
      <w:r>
        <w:rPr>
          <w:rFonts w:ascii="Times New Roman" w:cs="Times New Roman" w:eastAsia="Times New Roman" w:hAnsi="Times New Roman"/>
          <w:sz w:val="18"/>
          <w:szCs w:val="18"/>
          <w:color w:val="auto"/>
        </w:rPr>
        <w:t>— Though still early in their development maturity cycle, Serve robots are the result of over six years of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Every day, we continue to work on improving our robots’ capabilities, including making them faster, safer, smarter and more affordable.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list of Serve robots’ current specifications: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Speed</w:t>
            </w:r>
          </w:p>
        </w:tc>
        <w:tc>
          <w:tcPr>
            <w:tcW w:w="86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7 mph (max)</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Range</w:t>
            </w:r>
          </w:p>
        </w:tc>
        <w:tc>
          <w:tcPr>
            <w:tcW w:w="86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 miles, 10 hours</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Weather</w:t>
            </w:r>
          </w:p>
        </w:tc>
        <w:tc>
          <w:tcPr>
            <w:tcW w:w="86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Light rain, 32-104°F</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Autonomy</w:t>
            </w:r>
          </w:p>
        </w:tc>
        <w:tc>
          <w:tcPr>
            <w:tcW w:w="8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&gt;80% Autonomy Capability</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w:t>
            </w:r>
          </w:p>
        </w:tc>
        <w:tc>
          <w:tcPr>
            <w:tcW w:w="86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13 gallons (approx. two large shopping bags or four large pizzas)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robots are designed to operate in the common environmental conditions in each operating market. Currently we limit Serve’s operation to warm and dry climates, and do not operate robots under rare or extreme conditions such as strong storms or unusually high or low temperatures.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additional financing required for further development, we expect each new generation of robots to continually expand their operating envelope (e.g., introducing the ability to manage ice and snow), which we believe in turn could expand our market reach. Our roadmap includes a new generation of robots launching in 2025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Process </w:t>
      </w:r>
      <w:r>
        <w:rPr>
          <w:rFonts w:ascii="Times New Roman" w:cs="Times New Roman" w:eastAsia="Times New Roman" w:hAnsi="Times New Roman"/>
          <w:sz w:val="18"/>
          <w:szCs w:val="18"/>
          <w:color w:val="auto"/>
        </w:rPr>
        <w:t>— Our development efforts began in 2017 with extensive market research. Using proprietary historical Postmates delivery data,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 thousands of simulation scenarios to define desirable robot specifications, best deployment and operation models, as well as go-to-market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w:t>
      </w:r>
      <w:r>
        <w:rPr>
          <w:rFonts w:ascii="Times New Roman" w:cs="Times New Roman" w:eastAsia="Times New Roman" w:hAnsi="Times New Roman"/>
          <w:sz w:val="18"/>
          <w:szCs w:val="18"/>
          <w:color w:val="auto"/>
        </w:rPr>
        <w:t>— Our robots are designed by Serve’s high caliber team of mechanical, electrical and system engineers to not only meet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but also supply availability of components and manufacturing and assembly for scalability.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 Lease Agreement with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Robots That Win Hearts and Minds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make robots acceptable by the public, we set out our design efforts with a number of key objectives:</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familiar: Our robot design is inspired by familiar sidewalk objects such as baby strollers and shopping carts. Unfamiliar form factors can elicit strong resistance, whereas familiar-looking robots with blinking eyes and personalized names seem to already belong.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Serve’s talented design team has applied the above principles as they studied human-robot interactions on sidewalks, and they have created a robot design that stands in a class of its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OOH branding on transit vehicles since the age of streetcars in the 1800s. Similar to billboards and buses today, brands are placing ads on Serve robots’ exteriors.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additional revenue opportunities from delivery robots in the future. For example, the ability to license our technology to partners who wish to create their own robots for other applications, including our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revenues from robot branding and other services supplement delivery revenues, and as a result position delivery robots with better economics compared with existing delivery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delivery robots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is subject to further negotiations.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is also in discussions with Delivery Hero, also a strategic investor, to identify suitable markets outside North America to launch their first deployment.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Lastly, Serve is in various stages of discussions with a number of other restaurant brands, restaurant integrator platforms, delivery platforms and logistics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fleet of over 100 robots as of December 31, 2023, we provide robotic delivery to more than 300 restaurants on the Uber Eats platform in a number of neighborhoods in Los Angeles. To date, we have completed over 50,000 deliveries to Uber Eats customers and our delivery volume has grown over 25% month-over-month since early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robots’ delivery reliability is one of its most notable strengths. Our proprietary historical delivery data suggest that on average, human couriers fail to complete five or more orders per every 1,000 deliveries (i.e., 99.5% reliability). In contrast, Serve robots have achieved a delivery reliability as high as 99.94%, or 0.5 delivery failures per every 1,000 deliveries. Improved delivery quality enhances both customers’ and restaurants’ experiences and reduces the added cost of refunds caused by courier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 Assuming our expected utilization of robots by delivery platform partners, we believe that with a full deployment of 2,000 robots based on our existing contracts with Uber, we will be able to generate $60 million to $80 million in annual revenue and achieve contribution margins of over 50% while reaching positive cash flow by the end of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plan to continue partnership discussions with a number of food and grocery brands, as well as other delivery and restaurant ordering platforms.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have plans to expand operations beyond the United States and Canada, but we do engage in partnership discussions from time to time to evaluate the potential to expand into different geographies.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Strategic Investments and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NVIDIA Corporation </w:t>
      </w:r>
      <w:r>
        <w:rPr>
          <w:rFonts w:ascii="Times New Roman" w:cs="Times New Roman" w:eastAsia="Times New Roman" w:hAnsi="Times New Roman"/>
          <w:sz w:val="18"/>
          <w:szCs w:val="18"/>
          <w:color w:val="auto"/>
        </w:rPr>
        <w:t>— A leading provider of high-performance GPU computing chips, NVIDIA is an early technology collaborator of Serve.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worked with NVIDIA’s robotics and engineering teams for over five years. Since 2022, NVIDIA has invested over $12 million in Serve.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Delivery Hero SE </w:t>
      </w:r>
      <w:r>
        <w:rPr>
          <w:rFonts w:ascii="Times New Roman" w:cs="Times New Roman" w:eastAsia="Times New Roman" w:hAnsi="Times New Roman"/>
          <w:sz w:val="18"/>
          <w:szCs w:val="18"/>
          <w:color w:val="auto"/>
        </w:rPr>
        <w:t>— A German multinational online food ordering platform with significant presence in Europe and Asia, Delivery Hero is also an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of Serve.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Uber Technologies, Inc. </w:t>
      </w:r>
      <w:r>
        <w:rPr>
          <w:rFonts w:ascii="Times New Roman" w:cs="Times New Roman" w:eastAsia="Times New Roman" w:hAnsi="Times New Roman"/>
          <w:sz w:val="18"/>
          <w:szCs w:val="18"/>
          <w:color w:val="auto"/>
        </w:rPr>
        <w:t>— As discussed earlier, Uber holds a minority stake in Serve by contributing Serve’s initial IP and assets developed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Postmates X division, as well as by participating in multiple financing rounds. Uber is a key commercial partner and has enabled us to reach hundreds of restaurants and thousands of customers within weeks of launching on their platform.</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7-Eleven Inc. and 7-Ventures, LLC </w:t>
      </w:r>
      <w:r>
        <w:rPr>
          <w:rFonts w:ascii="Times New Roman" w:cs="Times New Roman" w:eastAsia="Times New Roman" w:hAnsi="Times New Roman"/>
          <w:sz w:val="18"/>
          <w:szCs w:val="18"/>
          <w:color w:val="auto"/>
        </w:rPr>
        <w:t>— A global convenience retailer with over 13,000 locations in the US and Canada as of January 2023, 7-Eleven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arm of 7-Eleven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firm invests primarily in companies with emerging retail technology, consumer-focused services and disruptive CPG products that complement 7-Eleven’s legacy of innovation.</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existing partnerships, we are in discussions with other potential strategic partners that would enable us to grow faster and reach more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Economics of Robotic Delivery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 drivers include hardware amortization period, upfront capital costs and hourly wages for field and remote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the University of Michigan’s Center for Sustainable Systems.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18"/>
          <w:szCs w:val="18"/>
          <w:color w:val="auto"/>
        </w:rPr>
        <w:t>Similar to Serve, Coco focuses on urban delivery but does not have a direct marketplace integration with a major third-party delivery platform, which we believe significantly constrains their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can reduce cost per delivery by increasing the pool of deliveries available to robots and ensuring they are more likely to receive delivery assignments well suited for robots. Direct marketplace integration also benefits marketplaces by reducing their cost per delivery.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we believe Coco lacks advanced autonomy, requiring a human remote operator to drive each robot at all times, diminishing cost-effectiveness, scalability and safety. Cartken is a newer entrant to the space with limited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Positioned for Success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world-class team, superior technology and market-leading partnerships position us well to be a leader in the robotic delivery race.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approach to product development and go-to-market strategy has been informed by the proprietary historical delivery data we had the privilege to access as a division of Postmates. We developed sophisticated simulation tools to anticipate the dynamics of robotic delivery, and design our hardware, software and operations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access to proprietary data, we have created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Robot: We have designed what we believe is a unique robot, purpose-built for last-mile urban delivery, with a uniquely suitable drivetrain, battery life, cargo design and more.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Autonomy: Having understood the importance of autonomy for profitable unit economics from early simulations, we invested considerably in suitable sensors, computing stack and AI models to achieve Level 4 autonomous capability.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Fastest, Most Scalable Go-to-Market: We believe we have led competition in our go-to-market approach in urban environments, with the largest number of restaurant partners and highest density of partners per geographic region.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Robot Utilization: We believe we have achieved higher robot utilization than other robotic delivery providers, as a result of our robot design, partnership strategy and integrations.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Unit Economics: We believe that autonomy and robot utilization results in cheaper delivery economics.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Safest: Our robots are equipped with sophisticated sensors, with what we believe is more redundancy in sensing than competition, and robust safety features such as mechanical fail-safe braking.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having best-in-class autonomy, strong strategic partnerships and significant deployment contracts, we have also assembled a high integrity, talented team, with a wealth of experience and a history of execution in creating innovative products and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is a mission-driven company based on a set of values that drive who we are and what we do:</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Empower People — </w:t>
      </w:r>
      <w:r>
        <w:rPr>
          <w:rFonts w:ascii="Times New Roman" w:cs="Times New Roman" w:eastAsia="Times New Roman" w:hAnsi="Times New Roman"/>
          <w:sz w:val="18"/>
          <w:szCs w:val="18"/>
          <w:color w:val="auto"/>
        </w:rPr>
        <w:t>We serve our neighborhoods and support local businesses. We go beyond self-interest, taking our community into account.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 each other with trust and autonomy to solve big problems to build a sustainable future.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Passionate, Authentic and Kind — </w:t>
      </w:r>
      <w:r>
        <w:rPr>
          <w:rFonts w:ascii="Times New Roman" w:cs="Times New Roman" w:eastAsia="Times New Roman" w:hAnsi="Times New Roman"/>
          <w:sz w:val="18"/>
          <w:szCs w:val="18"/>
          <w:color w:val="auto"/>
        </w:rPr>
        <w:t>We are mission driven. We value each other. We celebrate milestones and moments, both at Serve and in our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Trustworthy — </w:t>
      </w:r>
      <w:r>
        <w:rPr>
          <w:rFonts w:ascii="Times New Roman" w:cs="Times New Roman" w:eastAsia="Times New Roman" w:hAnsi="Times New Roman"/>
          <w:sz w:val="18"/>
          <w:szCs w:val="18"/>
          <w:color w:val="auto"/>
        </w:rPr>
        <w:t>We operate with integrity. We do what we say we will do. We are honest, transparent and respectful.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Safety Is Not Negotiable — </w:t>
      </w:r>
      <w:r>
        <w:rPr>
          <w:rFonts w:ascii="Times New Roman" w:cs="Times New Roman" w:eastAsia="Times New Roman" w:hAnsi="Times New Roman"/>
          <w:sz w:val="18"/>
          <w:szCs w:val="18"/>
          <w:color w:val="auto"/>
        </w:rPr>
        <w:t>We set the standard for safety. Our goal is to eliminate risks to safety. Our commitment goes beyond the sidewalk—we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customers’ data, our employees and the public.</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Take Ownership, Give Credit — </w:t>
      </w:r>
      <w:r>
        <w:rPr>
          <w:rFonts w:ascii="Times New Roman" w:cs="Times New Roman" w:eastAsia="Times New Roman" w:hAnsi="Times New Roman"/>
          <w:sz w:val="18"/>
          <w:szCs w:val="18"/>
          <w:color w:val="auto"/>
        </w:rPr>
        <w:t>It’s not mine, it’s not yours, it’s ours. We solve big audacious problems working together as a distributed, cross-functional team. We take pride in the quality of our work and no task is beneath 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Put the Marshmallow on Top — </w:t>
      </w:r>
      <w:r>
        <w:rPr>
          <w:rFonts w:ascii="Times New Roman" w:cs="Times New Roman" w:eastAsia="Times New Roman" w:hAnsi="Times New Roman"/>
          <w:sz w:val="18"/>
          <w:szCs w:val="18"/>
          <w:color w:val="auto"/>
        </w:rPr>
        <w:t>We are humbled by unknowns, not defeated. We see opportunity in ambiguity. We don’t need turn-by-turn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plan our own routes and even scout for others. We embrace experimentation in the face of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Find Truth on the Sidewalk </w:t>
      </w:r>
      <w:r>
        <w:rPr>
          <w:rFonts w:ascii="Times New Roman" w:cs="Times New Roman" w:eastAsia="Times New Roman" w:hAnsi="Times New Roman"/>
          <w:sz w:val="18"/>
          <w:szCs w:val="18"/>
          <w:color w:val="auto"/>
        </w:rPr>
        <w:t>— We experiment rapidly and discover eagerly in the real world. We move fast, gather data and learn by delivering.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 Delight </w:t>
      </w:r>
      <w:r>
        <w:rPr>
          <w:rFonts w:ascii="Times New Roman" w:cs="Times New Roman" w:eastAsia="Times New Roman" w:hAnsi="Times New Roman"/>
          <w:sz w:val="18"/>
          <w:szCs w:val="18"/>
          <w:color w:val="auto"/>
        </w:rPr>
        <w:t>— Both to our customers or to each other! We exceed customer expectations. We bring joy to our work and to our neighborhoods.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internal data, we estimate that over 95% of deliveries completed by Serve robots over the last year would otherwise be performed by personal vehicles. At scale, we estimate that delivery robots can displace oil demand by replacing personal vehicle deliveries and as a result, reduce global GHG emissions by nearly 762 megatons annually. This represents an approximately 2% reduction in the 37.15 billion metric tons of global emissions based on 2022 emissions data provided by the Global Carbon Project in December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International Energy Agency, 3.53 billion metric tons of CO2 were emitted by passenger vehicles globally in 2022, causing around 10% of global energy-related CO2 emissions. A study published in Transportation Research Part D: Transport and Environment (Volume 85, August 2020, 102443) suggests that delivery robots reduce energy usage per kilometer by over 97.5% compared to a traditional gas-engine passenger vehicle (as compared to 80% energy use reduction by passenger electric vehicles), and delivery robots produce 96% less emissions compared to gas-engine vehicles. Assuming the accuracy of a 2017 estimate by the U.S. Bureau of Transportation Statistics that 45% of car trips in the United States were taken for shopping and errands and our proprietary delivery data that indicates up to half of all shopping trips can be completed by delivery robots, an estimated 794 megatons of CO2 emissions from passenger vehicles globally may be attributed to shopping trips that we believe delivery robots may be suited to perform. As a result, we believe that with a 96% reduction in CO2 emissions compared to gas-engine vehicles, the scaled use of robotic delivery could reduce as much as 762 megatons of CO2 emissions by global passenger cars annually.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delivery robots are allowed to operate on sidewalks by default. As of December 31, 2023,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spacing w:after="0" w:line="172" w:lineRule="exact"/>
        <w:rPr>
          <w:sz w:val="20"/>
          <w:szCs w:val="20"/>
          <w:color w:val="auto"/>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Inherently Safer: </w:t>
      </w:r>
      <w:r>
        <w:rPr>
          <w:rFonts w:ascii="Times New Roman" w:cs="Times New Roman" w:eastAsia="Times New Roman" w:hAnsi="Times New Roman"/>
          <w:sz w:val="18"/>
          <w:szCs w:val="18"/>
          <w:u w:val="single" w:color="auto"/>
          <w:color w:val="auto"/>
        </w:rPr>
        <w:t>Based on internal estimates</w:t>
      </w:r>
      <w:r>
        <w:rPr>
          <w:rFonts w:ascii="Times New Roman" w:cs="Times New Roman" w:eastAsia="Times New Roman" w:hAnsi="Times New Roman"/>
          <w:sz w:val="18"/>
          <w:szCs w:val="18"/>
          <w:color w:val="auto"/>
        </w:rPr>
        <w:t>, cars carry over 1,000 times more kinetic energy than our robots. As a result of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much lower kinetic energy, our robots do not pose the same risk for injury or fatality that cars do. Meanwhile, cars have historically injured or killed thousands of pedestrians and cyclists each year. Removing unnecessary car trips can make cities safer for pedestrians and cyclists.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Emissions: </w:t>
      </w:r>
      <w:r>
        <w:rPr>
          <w:rFonts w:ascii="Times New Roman" w:cs="Times New Roman" w:eastAsia="Times New Roman" w:hAnsi="Times New Roman"/>
          <w:sz w:val="18"/>
          <w:szCs w:val="18"/>
          <w:color w:val="auto"/>
        </w:rPr>
        <w:t>Many cities have established targets for reducing carbon emissions, and robots can help advance their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initiatives.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Congestion: </w:t>
      </w:r>
      <w:r>
        <w:rPr>
          <w:rFonts w:ascii="Times New Roman" w:cs="Times New Roman" w:eastAsia="Times New Roman" w:hAnsi="Times New Roman"/>
          <w:sz w:val="18"/>
          <w:szCs w:val="18"/>
          <w:color w:val="auto"/>
        </w:rPr>
        <w:t>Deliveries often originate in high traffic regions where restaurants and shops tend to be located.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delivery car traffic can reduce congestion and parking issues in cities.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Delivery Cost for Local Merchants: </w:t>
      </w:r>
      <w:r>
        <w:rPr>
          <w:rFonts w:ascii="Times New Roman" w:cs="Times New Roman" w:eastAsia="Times New Roman" w:hAnsi="Times New Roman"/>
          <w:sz w:val="18"/>
          <w:szCs w:val="18"/>
          <w:color w:val="auto"/>
        </w:rPr>
        <w:t>Recently, a number of cities have implemented restrictions on how much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can charge restaurants for their services. Robots can offer a cheaper alternative to help local restaurants and merchants reduce their delivery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 Hollywood’s PDD permitting program is administered via a Call for Application and subsequent procurement process. Serve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expand our operations, we will continue to engage with local municipalities and regulators, to collaboratively introduce our innovative technology to new communities.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and ability to compete are significantly dependent on our core technology and intellectual property. As of December 31, 2023, we have applied for 18 patents in various jurisdictions: China (1 patent), the United States (11 patents), Canada (6 patents) and through the Patent Cooperation Treaty.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been granted nine of the 18 patents for which we have applied—four in the United States, four in Canada and one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are represented by a labor union or covered by a collective bargaining agreement. We consider our relationship with our employees to be good.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value the uniqueness that an inclusive and diverse team brings to our company. Therefore, we are focused on creating an environment that leverages the perspectives and contributions of each employee.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prioritize safe working conditions. We are committed to an injury-free workplace and provide comprehensive workplace training and support to reduce or eliminate health and safety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not aware of any pending legal proceedings to which we are a party or of which any of our property is the subject, nor are we aware of any such proceedings that are contemplated by any governmental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July 26,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Ali Kashani</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Touraj Parang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Brian Read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Euan Abraham</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Hardware and Manufacturing Officer</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56"/>
        </w:trPr>
        <w:tc>
          <w:tcPr>
            <w:tcW w:w="41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David Goldberg </w:t>
            </w:r>
            <w:r>
              <w:rPr>
                <w:rFonts w:ascii="Times New Roman" w:cs="Times New Roman" w:eastAsia="Times New Roman" w:hAnsi="Times New Roman"/>
                <w:sz w:val="29"/>
                <w:szCs w:val="29"/>
                <w:color w:val="auto"/>
                <w:vertAlign w:val="superscript"/>
              </w:rPr>
              <w:t>(1)(2)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22"/>
                <w:szCs w:val="22"/>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41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(2)(3)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2"/>
                <w:szCs w:val="22"/>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Sarfraz Maredia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94"/>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Olivier Vincent</w:t>
            </w:r>
            <w:r>
              <w:rPr>
                <w:rFonts w:ascii="Times New Roman" w:cs="Times New Roman" w:eastAsia="Times New Roman" w:hAnsi="Times New Roman"/>
                <w:sz w:val="29"/>
                <w:szCs w:val="29"/>
                <w:color w:val="auto"/>
                <w:vertAlign w:val="superscript"/>
              </w:rPr>
              <w:t>(2)(3)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ind w:left="460" w:hanging="317"/>
        <w:spacing w:after="0" w:line="204" w:lineRule="auto"/>
        <w:tabs>
          <w:tab w:leader="none" w:pos="46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Member of the nominating and governance committee.</w:t>
      </w:r>
    </w:p>
    <w:p>
      <w:pPr>
        <w:spacing w:after="0" w:line="2" w:lineRule="exact"/>
        <w:rPr>
          <w:rFonts w:ascii="Times New Roman" w:cs="Times New Roman" w:eastAsia="Times New Roman" w:hAnsi="Times New Roman"/>
          <w:sz w:val="30"/>
          <w:szCs w:val="30"/>
          <w:color w:val="auto"/>
          <w:vertAlign w:val="superscript"/>
        </w:rPr>
      </w:pPr>
    </w:p>
    <w:p>
      <w:pPr>
        <w:ind w:left="580" w:hanging="329"/>
        <w:spacing w:after="0" w:line="194" w:lineRule="auto"/>
        <w:tabs>
          <w:tab w:leader="none" w:pos="580" w:val="left"/>
        </w:tabs>
        <w:numPr>
          <w:ilvl w:val="2"/>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audit committee.</w:t>
      </w:r>
    </w:p>
    <w:p>
      <w:pPr>
        <w:spacing w:after="0" w:line="2" w:lineRule="exact"/>
        <w:rPr>
          <w:rFonts w:ascii="Times New Roman" w:cs="Times New Roman" w:eastAsia="Times New Roman" w:hAnsi="Times New Roman"/>
          <w:sz w:val="23"/>
          <w:szCs w:val="23"/>
          <w:color w:val="auto"/>
          <w:vertAlign w:val="superscript"/>
        </w:rPr>
      </w:pPr>
    </w:p>
    <w:p>
      <w:pPr>
        <w:ind w:left="520" w:hanging="323"/>
        <w:spacing w:after="0" w:line="194" w:lineRule="auto"/>
        <w:tabs>
          <w:tab w:leader="none" w:pos="520" w:val="left"/>
        </w:tabs>
        <w:numPr>
          <w:ilvl w:val="1"/>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compensation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Kashani </w:t>
      </w:r>
      <w:r>
        <w:rPr>
          <w:rFonts w:ascii="Times New Roman" w:cs="Times New Roman" w:eastAsia="Times New Roman" w:hAnsi="Times New Roman"/>
          <w:sz w:val="18"/>
          <w:szCs w:val="18"/>
          <w:color w:val="auto"/>
        </w:rPr>
        <w:t>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erve Robotics Inc. in January 2021 and has served as its Chief Executive Officer and a member of the board of directors of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then. Prior to co-founding Serve, he served as Vice President of Postmates, an on-demand food delivery platform, from July 2017 to January 2021. Prior to Postmates, Dr. Kashani was the co-founder and Chief Technology Officer at Neurio Technology, Inc., a smart home technology company acquired by Generac Power Systems, Inc. (NYSE: GNRC) in 2019. Dr. Kashani is an inventor with 15 granted or pending patents. Dr. Kashani received both his Bachelor of Science in Computer Engineering and his Doctorate in Robotics from the University of British Columbia and was awarded Natural Sciences and Engineering Research Council of Canada’s Alexander Graham Bell Canada Graduate Scholarship. We believe Dr. Kashani is qualified to serve on our board of directors due to the institutional knowledge he brings as Co-Founder and Chief Executive Officer of the Company and his business and robotics experience.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Touraj Parang </w:t>
      </w:r>
      <w:r>
        <w:rPr>
          <w:rFonts w:ascii="Times New Roman" w:cs="Times New Roman" w:eastAsia="Times New Roman" w:hAnsi="Times New Roman"/>
          <w:sz w:val="18"/>
          <w:szCs w:val="18"/>
          <w:color w:val="auto"/>
        </w:rPr>
        <w:t>has served as Serve’s Chief Operating Officer and as a member of the board of directors since March 2021, and was appointed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in July 2022. Prior to joining Serve, Mr. Parang worked at GoDaddy Inc. (NYSE: GDDY) from May 2014 to March 2021, where he began as Senior Director of Corporate Development and most recently served as Vice President of Corporate Development. Prior to that, Mr. Parang was the founding Chief Operating Officer of UpCounsel Technologies, Inc. (acquired by Enduring Ventures, Inc. in 2020), Vice President of Strategy and Corporate Development at Webs, Inc. (acquired by Vistaprint N.V. in 2011), and co-founder and Chief Operating Office of Jaxtr, Inc. (acquired by Sabse Technologies Inc. in 2009).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Euan Abraham </w:t>
      </w:r>
      <w:r>
        <w:rPr>
          <w:rFonts w:ascii="Times New Roman" w:cs="Times New Roman" w:eastAsia="Times New Roman" w:hAnsi="Times New Roman"/>
          <w:sz w:val="18"/>
          <w:szCs w:val="18"/>
          <w:color w:val="auto"/>
        </w:rPr>
        <w:t>has served as our Chief Hardware and Manufacturing Officer since June 2024. Previously, Mr. Abraham served as Serve’s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Hardware Engineering from January 2022 to June 2024. Prior to joining Serve, Mr. Abraham served as 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Read </w:t>
      </w:r>
      <w:r>
        <w:rPr>
          <w:rFonts w:ascii="Times New Roman" w:cs="Times New Roman" w:eastAsia="Times New Roman" w:hAnsi="Times New Roman"/>
          <w:sz w:val="18"/>
          <w:szCs w:val="18"/>
          <w:color w:val="auto"/>
        </w:rPr>
        <w:t>has served as Serve’s Chief Financial Officer since April 29, 2024. Prior to Serve, Mr. Read served as a Controller for Apptronik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2023 to April 2024, as a Global Controller at REE Automotive Ltd. (Nasdaq: REE) from February 2021 to March 2023 and as an Assistant Global Controller at Coherent Corp. (NYSE: COHR)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Goldberg </w:t>
      </w:r>
      <w:r>
        <w:rPr>
          <w:rFonts w:ascii="Times New Roman" w:cs="Times New Roman" w:eastAsia="Times New Roman" w:hAnsi="Times New Roman"/>
          <w:sz w:val="18"/>
          <w:szCs w:val="18"/>
          <w:color w:val="auto"/>
        </w:rPr>
        <w:t>has served as a member of our Board since July 2024. Mr. Goldberg most recently served as a consultant to our Company from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March of 2024. He is currently a Vice President at Magna International. Prior to that, he was the Chief Financial Officer of REE Automotive, Ltd. (Nasdaq: REE), an electric vehicle developer and manufacturer, from February 2022 to March 2023. Before joining REE Automotive, Mr. Goldberg had various roles at Magna International, including SVP – Corporate Development from January 2021 to January 2022 and VP – Finance and Corporate Development from May 2018 to December 2020. Mr. Goldberg has a degree in Business Administration from the Ivey Business School at Western University. We believe that Mr. Goldberg is qualified to serve on our board of directors due to his experience and expertise in the automotive and mobility industries.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Buckly Jordan </w:t>
      </w:r>
      <w:r>
        <w:rPr>
          <w:rFonts w:ascii="Times New Roman" w:cs="Times New Roman" w:eastAsia="Times New Roman" w:hAnsi="Times New Roman"/>
          <w:sz w:val="18"/>
          <w:szCs w:val="18"/>
          <w:color w:val="auto"/>
        </w:rPr>
        <w:t>has served as a member of Serve’s board of directors since October 2021. Mr. Jordan founded Vebu Labs, a food robotics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automation 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Sarfraz Maredia </w:t>
      </w:r>
      <w:r>
        <w:rPr>
          <w:rFonts w:ascii="Times New Roman" w:cs="Times New Roman" w:eastAsia="Times New Roman" w:hAnsi="Times New Roman"/>
          <w:sz w:val="18"/>
          <w:szCs w:val="18"/>
          <w:color w:val="auto"/>
        </w:rPr>
        <w:t>has served as a member of our Board since July 2023. Since September 2014, Mr. Maredia has been employed at Uber, most recently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Olivier Vincent </w:t>
      </w:r>
      <w:r>
        <w:rPr>
          <w:rFonts w:ascii="Times New Roman" w:cs="Times New Roman" w:eastAsia="Times New Roman" w:hAnsi="Times New Roman"/>
          <w:sz w:val="18"/>
          <w:szCs w:val="18"/>
          <w:color w:val="auto"/>
        </w:rPr>
        <w:t>has served as a member of our Board since July 2023. Mr. Vincent co-founded and has served as Chief Executive Officer of Autozen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six members: David Goldberg, James Buckly Jordan, Ali Kashani, Sarfraz Maredia, Touraj Parang and Olivier Vincent. Each of our current directors will continue to serve until the election and qualification of his or her successor, or his or her earlier death, resignation, disqualification or removal.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spacing w:after="0" w:line="18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David Goldberg and Sarfraz Maredia;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Buckly Jordan and Olivier Vincent;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Ali Kashani and Touraj Parang.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of our Class I directors, Class II directors and Class III directors will expire upon the election and qualification of successor directors at our annual meeting of stockholders held during the calendar years 2027, 2025 and 2026, respectively. 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Goldberg, Jordan, Maredia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by between or among the members of our board of directors or other executive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is composed of Messrs. Goldberg, Jordan and Vincent. Mr. Goldberg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Goldberg is as an “audit committee financial expert” under the rules of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our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on risk assessment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our code of business conduct and ethics;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audit and permissible non-audit services to be performed by the independent registered public accounting firm.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or making recommendations to the board of directors regarding, the compensation of our chief executive officer, other executive officers and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of directors succession plans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paid to our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is composed of Mr. Goldberg, who also serves as the chair of our nominating and governance committee. Our Board has determined that Mr. Goldberg is independent under applicable Nasdaq listing standards. Our nominating and governance committee’s principal functions include, among other things:</w:t>
      </w:r>
    </w:p>
    <w:p>
      <w:pPr>
        <w:spacing w:after="0" w:line="176"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of directors regarding the composition and chairmanship of the committees of the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the board of directors and the orientation of new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succession planning.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and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https://www.serverobotics.com</w:t>
      </w:r>
      <w:r>
        <w:rPr>
          <w:rFonts w:ascii="Times New Roman" w:cs="Times New Roman" w:eastAsia="Times New Roman" w:hAnsi="Times New Roman"/>
          <w:sz w:val="18"/>
          <w:szCs w:val="18"/>
          <w:color w:val="auto"/>
        </w:rPr>
        <w:t>. In addition, we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and similar terms refer to Serve prior to the closing of the Merger, and to the Company and its subsidiaries after the closing of the Merger.</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Kashani: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Touraj Parang: President &amp;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Euan Abraham: Senior Vice President of Hardware Engineering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Company’s most recent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00" w:type="dxa"/>
            <w:vAlign w:val="bottom"/>
          </w:tcPr>
          <w:p>
            <w:pPr>
              <w:spacing w:after="0"/>
              <w:rPr>
                <w:sz w:val="16"/>
                <w:szCs w:val="16"/>
                <w:color w:val="auto"/>
              </w:rPr>
            </w:pPr>
          </w:p>
        </w:tc>
        <w:tc>
          <w:tcPr>
            <w:tcW w:w="1320" w:type="dxa"/>
            <w:vAlign w:val="bottom"/>
            <w:gridSpan w:val="2"/>
          </w:tcPr>
          <w:p>
            <w:pPr>
              <w:jc w:val="right"/>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4"/>
                <w:szCs w:val="24"/>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 xml:space="preserve">Salary </w:t>
            </w: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7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3"/>
                <w:vertAlign w:val="subscript"/>
              </w:rPr>
              <w:t>($)</w:t>
            </w:r>
            <w:r>
              <w:rPr>
                <w:rFonts w:ascii="Times New Roman" w:cs="Times New Roman" w:eastAsia="Times New Roman" w:hAnsi="Times New Roman"/>
                <w:sz w:val="14"/>
                <w:szCs w:val="14"/>
                <w:b w:val="1"/>
                <w:bCs w:val="1"/>
                <w:color w:val="auto"/>
                <w:w w:val="93"/>
              </w:rPr>
              <w:t>(1)</w:t>
            </w:r>
          </w:p>
        </w:tc>
        <w:tc>
          <w:tcPr>
            <w:tcW w:w="220" w:type="dxa"/>
            <w:vAlign w:val="bottom"/>
          </w:tcPr>
          <w:p>
            <w:pPr>
              <w:spacing w:after="0"/>
              <w:rPr>
                <w:sz w:val="24"/>
                <w:szCs w:val="24"/>
                <w:color w:val="auto"/>
              </w:rPr>
            </w:pPr>
          </w:p>
        </w:tc>
        <w:tc>
          <w:tcPr>
            <w:tcW w:w="7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3"/>
                <w:vertAlign w:val="subscript"/>
              </w:rPr>
              <w:t>($)</w:t>
            </w:r>
            <w:r>
              <w:rPr>
                <w:rFonts w:ascii="Times New Roman" w:cs="Times New Roman" w:eastAsia="Times New Roman" w:hAnsi="Times New Roman"/>
                <w:sz w:val="14"/>
                <w:szCs w:val="14"/>
                <w:b w:val="1"/>
                <w:bCs w:val="1"/>
                <w:color w:val="auto"/>
                <w:w w:val="93"/>
              </w:rPr>
              <w:t>(1)</w:t>
            </w:r>
          </w:p>
        </w:tc>
        <w:tc>
          <w:tcPr>
            <w:tcW w:w="100" w:type="dxa"/>
            <w:vAlign w:val="bottom"/>
          </w:tcPr>
          <w:p>
            <w:pPr>
              <w:spacing w:after="0"/>
              <w:rPr>
                <w:sz w:val="24"/>
                <w:szCs w:val="24"/>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Ali Kashani</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105,738</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142,722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192,992</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192,992</w:t>
            </w: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Touraj Parang</w:t>
            </w:r>
          </w:p>
        </w:tc>
        <w:tc>
          <w:tcPr>
            <w:tcW w:w="6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238,500</w:t>
            </w:r>
          </w:p>
        </w:tc>
        <w:tc>
          <w:tcPr>
            <w:tcW w:w="940" w:type="dxa"/>
            <w:vAlign w:val="bottom"/>
            <w:gridSpan w:val="2"/>
          </w:tcPr>
          <w:p>
            <w:pPr>
              <w:ind w:lef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11,655</w:t>
            </w:r>
          </w:p>
        </w:tc>
        <w:tc>
          <w:tcPr>
            <w:tcW w:w="120" w:type="dxa"/>
            <w:vAlign w:val="bottom"/>
          </w:tcPr>
          <w:p>
            <w:pPr>
              <w:spacing w:after="0"/>
              <w:rPr>
                <w:sz w:val="17"/>
                <w:szCs w:val="17"/>
                <w:color w:val="auto"/>
              </w:rPr>
            </w:pPr>
          </w:p>
        </w:tc>
        <w:tc>
          <w:tcPr>
            <w:tcW w:w="12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250,155</w:t>
            </w:r>
          </w:p>
        </w:tc>
        <w:tc>
          <w:tcPr>
            <w:tcW w:w="0" w:type="dxa"/>
            <w:vAlign w:val="bottom"/>
          </w:tcPr>
          <w:p>
            <w:pPr>
              <w:spacing w:after="0"/>
              <w:rPr>
                <w:sz w:val="1"/>
                <w:szCs w:val="1"/>
                <w:color w:val="auto"/>
              </w:rPr>
            </w:pPr>
          </w:p>
        </w:tc>
      </w:t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260,583</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260,583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279,890</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Senior Vice President of Hardware</w:t>
            </w:r>
          </w:p>
        </w:tc>
        <w:tc>
          <w:tcPr>
            <w:tcW w:w="6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295,000</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Engineering</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18"/>
        <w:spacing w:after="0" w:line="210" w:lineRule="auto"/>
        <w:tabs>
          <w:tab w:leader="none" w:pos="38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1,499,866 shares of Serve common stock for an aggregate purchase price of $1,866.67 (the “Kashani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535,163 shares of Serve common stock for an aggregate purchase price of $828.92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Time-Based Award”). On December 23, 2021, Mr. Abraham was granted an option to purchase 200,875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Time-Based Award” and together with the Kashani Time-Based Award and the Parang Time-Based Award, the “Time-Based Awards”). The Kashani Time-</w:t>
      </w:r>
    </w:p>
    <w:p>
      <w:pPr>
        <w:spacing w:after="0" w:line="2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Based Award, the Parang Time-Based Award, and the Abraham Time-Based Award are each scheduled to vest as to 25% of the shares on February 18, 2022, March 22, 2022, and November 1, 2022, respectively, and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36 month-period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749,933 shares of Serve common stock for an aggregate purchase price of $933.34 (the “Kashani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267,581 shares of Serve common stock for an aggregate purchase price of $414.46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On December 23, 2021, Mr. Abraham was granted an option to purchase 100,437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and together with the Kashani Milestone-Based Award and the Parang Milestone-Based Award, the “Milestone-Based Awards”).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Milestone-Based Awards are each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48 month-period following the achievement of a milestone prior to September 30, 2022. Between October and November 2022, our board of directors retroactively amended the vesting schedule to permit the 48-month vesting period to run from June 15, 2022, regardless of milestone achievement.</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Serve common stock, respectively, which are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on July 1, 2023 and monthly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Fiscal Year-End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stock option or unvested stock award held by each named executive officer as of December 31,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4"/>
              </w:rPr>
              <w:t>Option Awards</w:t>
            </w:r>
            <w:r>
              <w:rPr>
                <w:rFonts w:ascii="Times New Roman" w:cs="Times New Roman" w:eastAsia="Times New Roman" w:hAnsi="Times New Roman"/>
                <w:sz w:val="29"/>
                <w:szCs w:val="29"/>
                <w:b w:val="1"/>
                <w:bCs w:val="1"/>
                <w:color w:val="auto"/>
                <w:w w:val="94"/>
                <w:vertAlign w:val="superscript"/>
              </w:rPr>
              <w:t>(1)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Stock Awards</w:t>
            </w:r>
            <w:r>
              <w:rPr>
                <w:rFonts w:ascii="Times New Roman" w:cs="Times New Roman" w:eastAsia="Times New Roman" w:hAnsi="Times New Roman"/>
                <w:sz w:val="29"/>
                <w:szCs w:val="29"/>
                <w:b w:val="1"/>
                <w:bCs w:val="1"/>
                <w:color w:val="auto"/>
                <w:w w:val="95"/>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22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6"/>
                <w:szCs w:val="16"/>
                <w:color w:val="auto"/>
              </w:rPr>
            </w:pPr>
          </w:p>
        </w:tc>
        <w:tc>
          <w:tcPr>
            <w:tcW w:w="122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securities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40" w:type="dxa"/>
            <w:vAlign w:val="bottom"/>
          </w:tcPr>
          <w:p>
            <w:pPr>
              <w:spacing w:after="0"/>
              <w:rPr>
                <w:sz w:val="18"/>
                <w:szCs w:val="18"/>
                <w:color w:val="auto"/>
              </w:rPr>
            </w:pPr>
          </w:p>
        </w:tc>
        <w:tc>
          <w:tcPr>
            <w:tcW w:w="1100" w:type="dxa"/>
            <w:vAlign w:val="bottom"/>
            <w:gridSpan w:val="3"/>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rPr>
              <w:t>price ($)</w:t>
            </w:r>
            <w:r>
              <w:rPr>
                <w:rFonts w:ascii="Times New Roman" w:cs="Times New Roman" w:eastAsia="Times New Roman" w:hAnsi="Times New Roman"/>
                <w:sz w:val="25"/>
                <w:szCs w:val="25"/>
                <w:b w:val="1"/>
                <w:bCs w:val="1"/>
                <w:color w:val="auto"/>
                <w:vertAlign w:val="superscript"/>
              </w:rPr>
              <w:t>(3)</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7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4"/>
                <w:szCs w:val="24"/>
                <w:color w:val="auto"/>
              </w:rPr>
            </w:pP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1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Ali Kashani</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4/27/2021</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ind w:left="860"/>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437,461</w:t>
            </w:r>
          </w:p>
        </w:tc>
        <w:tc>
          <w:tcPr>
            <w:tcW w:w="280" w:type="dxa"/>
            <w:vAlign w:val="bottom"/>
            <w:tcBorders>
              <w:top w:val="single" w:sz="8" w:color="CCEEFF"/>
            </w:tcBorders>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(5)</w:t>
            </w:r>
          </w:p>
        </w:tc>
        <w:tc>
          <w:tcPr>
            <w:tcW w:w="90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$ 1,749,844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8"/>
              </w:rPr>
              <w:t>4/27/2021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line="17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468,708</w:t>
            </w:r>
          </w:p>
        </w:tc>
        <w:tc>
          <w:tcPr>
            <w:tcW w:w="28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(6)</w:t>
            </w:r>
          </w:p>
        </w:tc>
        <w:tc>
          <w:tcPr>
            <w:tcW w:w="1000" w:type="dxa"/>
            <w:vAlign w:val="bottom"/>
            <w:gridSpan w:val="3"/>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$ 1,874,832</w:t>
            </w:r>
          </w:p>
        </w:tc>
        <w:tc>
          <w:tcPr>
            <w:tcW w:w="0" w:type="dxa"/>
            <w:vAlign w:val="bottom"/>
          </w:tcPr>
          <w:p>
            <w:pPr>
              <w:spacing w:after="0"/>
              <w:rPr>
                <w:sz w:val="1"/>
                <w:szCs w:val="1"/>
                <w:color w:val="auto"/>
              </w:rPr>
            </w:pPr>
          </w:p>
        </w:tc>
      </w:tr>
      <w:tr>
        <w:trPr>
          <w:trHeight w:val="44"/>
        </w:trPr>
        <w:tc>
          <w:tcPr>
            <w:tcW w:w="3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3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line="280"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45,182</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2,421</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16,952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6/6/2028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Touraj Parang</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5/6/2021</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167,238</w:t>
            </w:r>
          </w:p>
        </w:tc>
        <w:tc>
          <w:tcPr>
            <w:tcW w:w="28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668,952</w:t>
            </w: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11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5/6/2021</w:t>
            </w:r>
          </w:p>
        </w:tc>
        <w:tc>
          <w:tcPr>
            <w:tcW w:w="100" w:type="dxa"/>
            <w:vAlign w:val="bottom"/>
          </w:tcPr>
          <w:p>
            <w:pPr>
              <w:spacing w:after="0"/>
              <w:rPr>
                <w:sz w:val="3"/>
                <w:szCs w:val="3"/>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3"/>
                <w:szCs w:val="3"/>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167,238</w:t>
            </w:r>
          </w:p>
        </w:tc>
        <w:tc>
          <w:tcPr>
            <w:tcW w:w="280" w:type="dxa"/>
            <w:vAlign w:val="bottom"/>
            <w:vMerge w:val="continue"/>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668,952</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vMerge w:val="restart"/>
          </w:tcPr>
          <w:p>
            <w:pPr>
              <w:jc w:val="center"/>
              <w:ind w:right="25"/>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3160" w:type="dxa"/>
            <w:vAlign w:val="bottom"/>
          </w:tcPr>
          <w:p>
            <w:pPr>
              <w:spacing w:after="0"/>
              <w:rPr>
                <w:sz w:val="23"/>
                <w:szCs w:val="23"/>
                <w:color w:val="auto"/>
              </w:rPr>
            </w:pPr>
          </w:p>
        </w:tc>
        <w:tc>
          <w:tcPr>
            <w:tcW w:w="1180" w:type="dxa"/>
            <w:vAlign w:val="bottom"/>
            <w:gridSpan w:val="2"/>
          </w:tcPr>
          <w:p>
            <w:pPr>
              <w:jc w:val="center"/>
              <w:ind w:left="10"/>
              <w:spacing w:after="0" w:line="265"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11,403</w:t>
            </w:r>
          </w:p>
        </w:tc>
        <w:tc>
          <w:tcPr>
            <w:tcW w:w="18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6/6/2033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3"/>
                <w:szCs w:val="23"/>
                <w:color w:val="auto"/>
              </w:rPr>
            </w:pPr>
          </w:p>
        </w:tc>
        <w:tc>
          <w:tcPr>
            <w:tcW w:w="1180" w:type="dxa"/>
            <w:vAlign w:val="bottom"/>
            <w:gridSpan w:val="2"/>
          </w:tcPr>
          <w:p>
            <w:pPr>
              <w:jc w:val="center"/>
              <w:ind w:left="10"/>
              <w:spacing w:after="0" w:line="271"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7,396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6/6/2033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1180" w:type="dxa"/>
            <w:vAlign w:val="bottom"/>
            <w:gridSpan w:val="2"/>
            <w:shd w:val="clear" w:color="auto" w:fill="CCEEFF"/>
          </w:tcPr>
          <w:p>
            <w:pPr>
              <w:jc w:val="center"/>
              <w:ind w:left="10"/>
              <w:spacing w:after="0" w:line="256" w:lineRule="exact"/>
              <w:rPr>
                <w:sz w:val="20"/>
                <w:szCs w:val="20"/>
                <w:color w:val="auto"/>
              </w:rPr>
            </w:pPr>
            <w:r>
              <w:rPr>
                <w:rFonts w:ascii="Times New Roman" w:cs="Times New Roman" w:eastAsia="Times New Roman" w:hAnsi="Times New Roman"/>
                <w:sz w:val="18"/>
                <w:szCs w:val="18"/>
                <w:color w:val="auto"/>
                <w:w w:val="94"/>
              </w:rPr>
              <w:t>12/23/2021</w:t>
            </w:r>
            <w:r>
              <w:rPr>
                <w:rFonts w:ascii="Times New Roman" w:cs="Times New Roman" w:eastAsia="Times New Roman" w:hAnsi="Times New Roman"/>
                <w:sz w:val="29"/>
                <w:szCs w:val="29"/>
                <w:color w:val="auto"/>
                <w:w w:val="94"/>
                <w:vertAlign w:val="superscript"/>
              </w:rPr>
              <w:t>(10)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104,622</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96,253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12/22/2031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12/23/2021</w:t>
            </w:r>
            <w:r>
              <w:rPr>
                <w:rFonts w:ascii="Times New Roman" w:cs="Times New Roman" w:eastAsia="Times New Roman" w:hAnsi="Times New Roman"/>
                <w:sz w:val="29"/>
                <w:szCs w:val="29"/>
                <w:color w:val="auto"/>
                <w:w w:val="94"/>
                <w:vertAlign w:val="superscript"/>
              </w:rPr>
              <w:t>(11)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37,664</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12/22/2031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12,909</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6/6/2033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6/7/2023</w:t>
            </w:r>
            <w:r>
              <w:rPr>
                <w:rFonts w:ascii="Times New Roman" w:cs="Times New Roman" w:eastAsia="Times New Roman" w:hAnsi="Times New Roman"/>
                <w:sz w:val="29"/>
                <w:szCs w:val="29"/>
                <w:color w:val="auto"/>
                <w:w w:val="92"/>
                <w:vertAlign w:val="superscript"/>
              </w:rPr>
              <w:t>(9)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6/6/2033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stock options listed above cover shares of our common stock following the closing of the Merger and were granted under the 2021 Plan.</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restricted shares listed above cover shares of our common stock following the closing of the Merger. The restricted shares held by Mr. Parang were issued pursuant to the 2021 Plan, while the restricted shares held by Dr. Kashani were issued outside of the 2021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0" w:name="page81"/>
    <w:bookmarkEnd w:id="80"/>
    <w:p>
      <w:pPr>
        <w:ind w:left="340" w:hanging="332"/>
        <w:spacing w:after="0"/>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column represents the fair market value of a share of Serve common stock on the date of grant, as determined by the Serve board of directors.</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204"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column represents the number of unvested restricted shares outstanding as of December 31, 2023, multiplied by $4.00, which is the per share value of Serve common stock as of December 31, 2023, based upon the purchase price per share of common stock in the Private Placement in July through October 2023.</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February 18,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jc w:val="both"/>
        <w:ind w:left="340" w:hanging="332"/>
        <w:spacing w:after="0" w:line="186"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on July 15, 2022 and monthly thereafter, subject to the executive’s continued employment through each vesting date.</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March 22,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100% of the option shares vested and became exercisable on the one-month anniversary of the closing of the Merger, subject to the executive’s continued employment through the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05" w:lineRule="auto"/>
        <w:tabs>
          <w:tab w:leader="none" w:pos="34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options are subject to a 4-year vesting schedule,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vesting on July 1, 2023 and monthly thereafter, subject to the executive’s continued employment through each vesting date.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214" w:lineRule="auto"/>
        <w:tabs>
          <w:tab w:leader="none" w:pos="3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options are subject to a 4-year vesting schedule, with 25% of the option shares vesting on November 1, 2022 and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option shares vesting monthly over the 36-month period thereafter, subject to the executive’s continued employment through each vesting date.</w:t>
      </w:r>
    </w:p>
    <w:p>
      <w:pPr>
        <w:jc w:val="both"/>
        <w:ind w:left="340" w:hanging="332"/>
        <w:spacing w:after="0" w:line="194" w:lineRule="auto"/>
        <w:tabs>
          <w:tab w:leader="none" w:pos="3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options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option shares vesting on July 15, 2022 and monthly thereafter, subject to the executive’s continued employment through each vesting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Read Offer Letter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2024, Serve entered into an offer letter with Brian Read, who became our Chief Financial Officer effective on April 29, 2024 (the “Read Effective Date”). Pursuant to the terms of his offer letter, Mr. Read is entitled to an annual base salary of $250,000 per year. In addition, Mr. Read is entitled to a one-time signing bonus of $25,000, payable at the end of the first payroll period 90 days after the Read Effective Date, subject to applicable taxes and withholdings and which shall be repaid in full upon the voluntary termination of employment within one year of the Read Effective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Read is also eligible to participate in our employee benefits plans as generally made available to similarly situated employees. Mr. Read’s employment is “at-will” and may be terminated by either party at any time, with or without cause or notice.</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Subject to Board approval, Mr. Read will be granted a restricted stock award to purchase 240,000 shares of the Company’s common stock (the “Read Time-Based Award”). The Read Time-Based Award will vest over four years at the rate of 25% of the total number of the Read Time-Based Award shares on the one-year anniversary of Mr. Read’s start date and 1/48th of the total number of the Read Time-Based Award shares on each monthly anniversary thereafter, subject to his continuous service with us through each applicable vesting date. For additional information regarding the Read Time-Based Award, please see the section below titled “</w:t>
      </w:r>
      <w:r>
        <w:rPr>
          <w:rFonts w:ascii="Times New Roman" w:cs="Times New Roman" w:eastAsia="Times New Roman" w:hAnsi="Times New Roman"/>
          <w:sz w:val="17"/>
          <w:szCs w:val="17"/>
          <w:i w:val="1"/>
          <w:iCs w:val="1"/>
          <w:color w:val="auto"/>
        </w:rPr>
        <w:t>Potential Payments Upon Termination or Change in Control — Time-Based Awards and Milestone-Based Awards</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Touraj Parang Offer Letter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2021, Serve entered into an offer letter with the Company’s President and Chief Operating Officer, Touraj Parang, pursuant to which Mr. Parang is entitled to an annual base salary of $250,000 per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Parang is eligible to participate in the Company employee benefits plans maintained by the Company and generally made available to similarly situated employees. Mr. Parang’s employment is “at-will” and may be terminated by either party at any time.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approval of our board of directors, Mr. Parang will be granted the Parang Time-Based Equity Award which consists of restricted stock award to purchase 666,040 shares of the Company’s common stock. The Parang Time-Based Equity Award will vest over four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our board of directors, Mr. Parang will be granted the Parang Milestone-Based Equity Award which consists of restricted stock award to purchase 333,020 shares of the Company’s common stock. Once the milestone is achieved, the Parang Milestone-Based Equity Award will vest over four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 w:cs="Times New Roman" w:eastAsia="Times New Roman" w:hAnsi="Times New Roman"/>
          <w:sz w:val="18"/>
          <w:szCs w:val="18"/>
          <w:i w:val="1"/>
          <w:iCs w:val="1"/>
          <w:color w:val="auto"/>
        </w:rPr>
        <w:t>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 — Time-Based Awards and Milestone-Based Awards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Parang will continue to be employed by the Company under the terms of his offer letter with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a termination payment letter entered into with Mr. Parang in fiscal year 2021, please see the section below titled “</w:t>
      </w:r>
      <w:r>
        <w:rPr>
          <w:rFonts w:ascii="Times New Roman" w:cs="Times New Roman" w:eastAsia="Times New Roman" w:hAnsi="Times New Roman"/>
          <w:sz w:val="18"/>
          <w:szCs w:val="18"/>
          <w:i w:val="1"/>
          <w:iCs w:val="1"/>
          <w:color w:val="auto"/>
        </w:rPr>
        <w:t>Potential Payments Upon Termination or Change in Control — Parang Termination Payment Letter</w:t>
      </w:r>
      <w:r>
        <w:rPr>
          <w:rFonts w:ascii="Times New Roman" w:cs="Times New Roman" w:eastAsia="Times New Roman" w:hAnsi="Times New Roman"/>
          <w:sz w:val="18"/>
          <w:szCs w:val="18"/>
          <w:color w:val="auto"/>
        </w:rPr>
        <w:t>” in this registration statement on Form S-1.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Euan Abraham Offer Letter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Abraham is eligible to participate in the Company employee benefits plans maintained by the Company and generally made available to similarly situated employees. Mr. Abraham’s employment is “at-will” and may be terminated by either party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Abraham will continue to be employed by the Company under the terms of his offer letter with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Awards and Milestone-Based Awards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Time-Based Awards granted to Dr. Kashani, Mr. Parang and Mr. Read and the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involuntary termination.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applicable executive’s service with the Company terminates for any reason, any unvested shares subject to the Time-Based Awards granted to Dr. Kashani, Mr. Parang and Mr. Read and the Milestone-Based Awards granted to Dr. Kashani and Mr. Parang may be repurchased by the Company within three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three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Time-Based Awards granted to Dr. Kashani, Mr. Parang and Mr. Read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w:t>
      </w:r>
    </w:p>
    <w:p>
      <w:pPr>
        <w:spacing w:after="0" w:line="1" w:lineRule="exact"/>
        <w:rPr>
          <w:sz w:val="20"/>
          <w:szCs w:val="20"/>
          <w:color w:val="auto"/>
        </w:rPr>
      </w:pPr>
    </w:p>
    <w:p>
      <w:pPr>
        <w:jc w:val="both"/>
        <w:ind w:firstLine="8"/>
        <w:spacing w:after="0" w:line="255" w:lineRule="auto"/>
        <w:tabs>
          <w:tab w:leader="none" w:pos="3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 Kashani Time-Based Award and the Kashani Milestone-Based Award, “good reason” means Dr. Kashani’s resignation due to the occurrence of any of the following conditions which occurs without his written consent, provided that the requirements regarding advance notice and an opportunity to cure set forth below are satisfied: (i) his then-current base salary is reduced by more than 10% (other than as part of an across-the-board salary reduction applicable to all similarly situated employees); (ii) a material reduction of his duties, authority, responsibilities or reporting relationship, relative to his duties, authority, responsibilities or reporting relationship as in effect immediately prior to such reduction or (iii) Serve (or its successor) conditions his continued service on the executive being transferred to a site of employment that would increase his one-way commute by more than 50 miles from his then-principal residence.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 Parang Time-Based Award and the Parang Milestone-Based Award, “good reason” means Mr. Parang’s resignation due to the occurrence of any of the following conditions which occurs without his written consent, provided that the requirements regarding advance notice and an opportunity to cure set forth below are satisfied: (i) a reduction of his then current base salary by 10% or more unless such reduction is part of a generalized salary reduction affecting similarly situated employees; (ii) a change in his position with Serve that materially reduces the executive’s duties, level of authority or responsibility or (iii) conditioning his continued service with us on his being transferred to a site of employment that would increase his one-way commute by more than 35 miles from his then-principal residence.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Read Time-Based Award, “good reason” means Mr. Read’s resignation due to the occurrence of any of the following conditions which occurs without his written consent, provided that the requirements regarding advance notice and an opportunity to cure set forth below are satisfied: (i) a material reduction of his duties, authority, responsibilities or reporting relationship, relative to his duties, authority, responsibilities or reporting relationship as in effect immediately prior to such reduction, provided that neither (1) reporting to any chief executive officer of the Company or (2) a change in title alone in connection with a “change in control” (as defined in Mr. Read’s offer letter) constitute a material diminution of his authority, duties or responsibilities; (ii) we (or our successor) condition his continued service with us on his being transferred to a site of employment that would increase his one-way commute by more than 50 miles from his then-principal residence; (iii) a reduction of his then-current base salary by 20% or more unless such reduction is part of a generalized salary reduction affecting all other senior executives by the same amount as part of a general compensation level reduction or (iv) our material breach of any of our obligations under Mr. Read’s offer letter.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 Notice and Cure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Dr. Kashani or Mr. Read to resign for “good reason,” they must provide written notice to us of the existence of the good reason condition within 30 days of the initial existence of such condition. Upon receipt of such notice, we will have 30 days during which we may remedy the good reason condition and not be required to provide for the benefits described in the applicable offer letter as a result of such proposed resignation. If the good reason condition is not remedied within such 30-day period, the executive may resign based on the good reason condition specified in the notice effective no later than 30 days, in the case of Mr. Read, and 60 days, in the case of Dr. Kashani, following the expiration of our 30-day cure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Parang Termination Payment Letter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Serve entered into a termination payment letter agreement with Mr. Parang (the “Termination Payment Letter”), which provides that if</w:t>
      </w:r>
    </w:p>
    <w:p>
      <w:pPr>
        <w:spacing w:after="0" w:line="27" w:lineRule="exact"/>
        <w:rPr>
          <w:sz w:val="20"/>
          <w:szCs w:val="20"/>
          <w:color w:val="auto"/>
        </w:rPr>
      </w:pPr>
    </w:p>
    <w:p>
      <w:pPr>
        <w:jc w:val="both"/>
        <w:ind w:firstLine="8"/>
        <w:spacing w:after="0" w:line="250" w:lineRule="auto"/>
        <w:tabs>
          <w:tab w:leader="none" w:pos="2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Kashani Termination Payment Letter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w:t>
      </w:r>
    </w:p>
    <w:p>
      <w:pPr>
        <w:spacing w:after="0" w:line="3" w:lineRule="exact"/>
        <w:rPr>
          <w:sz w:val="20"/>
          <w:szCs w:val="20"/>
          <w:color w:val="auto"/>
        </w:rPr>
      </w:pPr>
    </w:p>
    <w:p>
      <w:pPr>
        <w:jc w:val="both"/>
        <w:ind w:firstLine="8"/>
        <w:spacing w:after="0" w:line="250" w:lineRule="auto"/>
        <w:tabs>
          <w:tab w:leader="none" w:pos="2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paid in 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and the current members were appointed to our Board, effective as of July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2024, we adopted our Outside Director Compensation Policy (the “Director Compensation Policy”), effective as of January 1, 2024, pursuant to which we pay each non-employee director annual cash retainers and equity awards, as further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Director Compensation Policy, each non-employee director is entitled to receive an annual cash retainer for service on our board of directors and an additional annual cash retainer for service on each committee on which the non-employee director is a member. All annual cash retainers are paid quarterly in arrears. In addition, James Buckly Jordan, Ali Pourdad and Olivier Vincent each received an initial cash compensation in the amount of $11,250 on March 31, 2024. No compensation has previously been paid to our non-employee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for service on our board of directors and for service on each committee of our board of directors of which the non-employee director is a member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Board Member Service Retainer</w:t>
      </w:r>
    </w:p>
    <w:p>
      <w:pPr>
        <w:spacing w:after="0" w:line="22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$20,000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Committee Member Service Retainer</w:t>
      </w:r>
    </w:p>
    <w:p>
      <w:pPr>
        <w:spacing w:after="0" w:line="22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$5,000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provides that at each annual stockholder meeting following a non-employee director’s appointment to our board of directors and subject to such non-employee director’s service on our board of directors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further provides that upon consummation of our initial public offering and listing of our common stock on Nasdaq or the NYSE, each non-employee director would be granted an option to purchase 20,000 shares of common stock under the 2023 Plan (each, an “Initial Equity Grant”). These grants were made in connection with the closing of the Public Offering in April 2024. Each Initial Grant vests in full on the one-year anniversary of the date of grant, subject to the applicable non-employee director’s continued service as a member of our board of directors through such date.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we describe transactions since January 1, 2023,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the Company’s capital stock. Other than as described below, there have not been transactions to which we have been a party other than compensation arrangements, which are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description is historical and has not been adjusted to give effect to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Subordinated Promissory Note with Ali Kashani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2023, Serve issued a Secured Subordinated Promissory Note (the “December 2023 Kashani Note”) to Dr.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 Agreement with David Goldberg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18, 2023, Serve entered into a consulting agreement (the “Consulting Agreement”) with Mr. Goldberg, our Class I director. Pursuant to the Consulting Agreement, Mr. Goldberg was paid a one-time fee of $50,000, as well as an additional payment of $125,000 that was contingent upon the Company closing new financing during the term of the Consulting Agreement, for a total cash payment of $175,000. Additionally, in connection with the Consulting Agreement, the Company granted Mr. Goldberg a restricted stock unit award of 50,000 shares of the Company’s common stock, all of which vested on May 18, 2024. The Consulting Agreement terminated March 18,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Uber Technologies,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elsewhere in this prospectus, Serve is a spin-off of Uber. Serve was initially formed in 2017 as the X division of Postmates, which was acquired by Uber in 2020. Uber held greater than 5% of Serve’s pre-Merger capital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Underwritten 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we entered into an underwriting agreement, or the Underwriting Agreement, with Aegis, pursuant to which we issued and sold 10,000,000 shares of our common stock at the public offering price of $4.00 per share. The aggregate net proceeds from the Public Offering totaled approximately $35.7 million after deducting underwriting discounts and commissions, as well as other offering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shares of our common stock purchased in our registered public offering by Postmates: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45"/>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1"/>
                <w:szCs w:val="21"/>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Postmates, LLC</w:t>
            </w:r>
          </w:p>
        </w:tc>
        <w:tc>
          <w:tcPr>
            <w:tcW w:w="5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“Postmates Convertible Promissory Note”) to Postmates. The Postmates Convertible Promissory Note bore interest at a rate of 6.00% per year, compounded annually, and was due and payable upon request by Postmates on or after the 12-month anniversary of the original issuance date of the Postmates Convertible Promissory Note. Pursuant to the terms of the Postmates Convertible Promissory Note, we could not prepay or repay the Postmates Convertible Promissory Note in cash without Postmates’ consent. The aggregate gross proceeds from the issuance of the Postmates Convertible Promissory Note were $500,000. The Postmates Convertible Promissory Notes converted into 210,025 shares of common stock at a price of $2.42 per share.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Postmates Convertible Promissory Note was exempt from registration under Section 4(a)(2) of the Securities Act and Rule 506 of Regulation D promulgated by the SEC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NVIDIA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“NVIDIA Convertible Promissory Note”) to NVIDIA. The NVIDIA Convertible Promissory Note bore interest at a rate of 6.00% per year, compounded annually, and was due and payable upon request by NVIDIA on or after the 12-month anniversary of the original issuance date of the NVIDIA Convertible Promissory Note. Pursuant to the terms of the NVIDIA Convertible Promissory Note, we could not prepay or repay the NVIDIA Convertible Promissory Note in cash without NVIDIA’s consent. The aggregate gross proceeds from the issuance of the NVIDIA Convertible Promissory Note were $2,500,000. The NVIDIA Convertible Promissory Notes converted into 1,050,129 shares of common stock at a price of $2.42 per share.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issuance of the NVIDIA Convertible Promissory Note was exempt from registration under Section 4(a)(2) of the Securities Act and Rule 506 of Regulation D promulgated by the SEC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SAFEs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 for</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SAFEs</w:t>
            </w:r>
          </w:p>
        </w:tc>
        <w:tc>
          <w:tcPr>
            <w:tcW w:w="100" w:type="dxa"/>
            <w:vAlign w:val="bottom"/>
            <w:tcBorders>
              <w:bottom w:val="single" w:sz="8" w:color="CCEEFF"/>
            </w:tcBorders>
          </w:tcPr>
          <w:p>
            <w:pPr>
              <w:spacing w:after="0"/>
              <w:rPr>
                <w:sz w:val="21"/>
                <w:szCs w:val="21"/>
                <w:color w:val="auto"/>
              </w:rPr>
            </w:pPr>
          </w:p>
        </w:tc>
      </w:tr>
      <w:tr>
        <w:trPr>
          <w:trHeight w:val="256"/>
        </w:trPr>
        <w:tc>
          <w:tcPr>
            <w:tcW w:w="9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NEO 2.0, L.P.</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987,483</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NEO 2.0a, L.P.</w:t>
            </w:r>
            <w:r>
              <w:rPr>
                <w:rFonts w:ascii="Times New Roman" w:cs="Times New Roman" w:eastAsia="Times New Roman" w:hAnsi="Times New Roman"/>
                <w:sz w:val="29"/>
                <w:szCs w:val="29"/>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NVIDIA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9,000,000</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r>
      <w:tr>
        <w:trPr>
          <w:trHeight w:val="257"/>
        </w:trPr>
        <w:tc>
          <w:tcPr>
            <w:tcW w:w="10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Wavemaker Pacific 4, L.P.</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98" w:lineRule="exact"/>
        <w:rPr>
          <w:sz w:val="20"/>
          <w:szCs w:val="20"/>
          <w:color w:val="auto"/>
        </w:rPr>
      </w:pPr>
    </w:p>
    <w:p>
      <w:pPr>
        <w:ind w:left="340" w:hanging="332"/>
        <w:spacing w:after="0" w:line="195" w:lineRule="auto"/>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general partner of each of NEO 2.0., L.P. and NEO 2.0a, L.P. is NEO GP. NEO GP and its affiliates hold greater than 5% of the pre-Merger capital stock of Serve.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ind w:left="34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Postmates, LLC is a wholly-owned subsidiary of Uber, which holds greater than 5% of the pre-Merger capital stock of Serve. Sarfraz Maredia is Vice President, Head of Delivery, Americas at Uber and serves as a member of the Serve Board of Directors.</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Wavemaker Pacific 4, L.P. holds greater than 5% of Serve’s pre-Merger capital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description set forth above under the caption “</w:t>
      </w:r>
      <w:r>
        <w:rPr>
          <w:rFonts w:ascii="Times New Roman" w:cs="Times New Roman" w:eastAsia="Times New Roman" w:hAnsi="Times New Roman"/>
          <w:sz w:val="18"/>
          <w:szCs w:val="18"/>
          <w:i w:val="1"/>
          <w:iCs w:val="1"/>
          <w:color w:val="auto"/>
        </w:rPr>
        <w:t>Description of the Merger, the Private Placement, the Public Offering, the July 2024 PIPE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Transactions—Registration Rights</w:t>
      </w:r>
      <w:r>
        <w:rPr>
          <w:rFonts w:ascii="Times New Roman" w:cs="Times New Roman" w:eastAsia="Times New Roman" w:hAnsi="Times New Roman"/>
          <w:sz w:val="18"/>
          <w:szCs w:val="18"/>
          <w:color w:val="auto"/>
        </w:rPr>
        <w:t>” is incorporated herein by reference. All of our directors, executive officers and holders of more than 5% of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parties to the Registration Rights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our directors. For a description of these stock options, see the section 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July 26, 2024 by:</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director nominees and executive officers as a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36,849,901 shares of common stock outstanding as of July 26, 2024. Shares of common stock that a person has the right to acquire within 60 days of July 26, 2024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in the table below is c/o Serve Robotics Inc., 730 Broadway, Redwood City, CA 94063.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5,298,833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Master Fund Ltd.</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4,336,566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NVIDIA Corporation</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3,727,033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Tompkins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1,843,750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 Kashani</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2,382,563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Shares subject to voting proxy</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Touraj Parang</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821,070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Read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Euan Abraham</w:t>
            </w:r>
            <w:r>
              <w:rPr>
                <w:rFonts w:ascii="Times New Roman" w:cs="Times New Roman" w:eastAsia="Times New Roman" w:hAnsi="Times New Roman"/>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214,647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Goldberg</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747,297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Sarfraz Maredia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Olivier Vincent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8,033,016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Represents beneficial ownership of less than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ind w:left="460" w:hanging="452"/>
        <w:spacing w:after="0" w:line="26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by Uber Technologies, Inc. with the SEC on May 8, 2024. Postmates, LLC is a wholly-owned subsidiary of Uber Technologies, Inc. The address of Uber Technologies, Inc. is 1725 3rd Street, San Francisco, California 94158.</w:t>
      </w:r>
    </w:p>
    <w:p>
      <w:pPr>
        <w:jc w:val="both"/>
        <w:ind w:left="460" w:right="380" w:hanging="452"/>
        <w:spacing w:after="0" w:line="22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2,500,000 shares of common stock underlying the Pre-Funded Warrants, subject to a 9.99% beneficial ownership blocker, and (ii) 1,836,566 shares of common stock underlying the Investor Warrants, subject to a 4.99% beneficial ownership blocker. The address of Armistice Capital Master Fund Ltd. is 510 Madison Avenue,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 w:lineRule="exact"/>
        <w:rPr>
          <w:rFonts w:ascii="Times New Roman" w:cs="Times New Roman" w:eastAsia="Times New Roman" w:hAnsi="Times New Roman"/>
          <w:sz w:val="18"/>
          <w:szCs w:val="18"/>
          <w:color w:val="auto"/>
        </w:rPr>
      </w:pPr>
    </w:p>
    <w:p>
      <w:pPr>
        <w:ind w:left="460" w:right="20" w:hanging="452"/>
        <w:spacing w:after="0" w:line="249"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NVIDIA Corporation with the SEC on July 18, 2024. The address of NVIDIA Corporation is 2788 San Tomas Expressway, Santa Clara, California 95051.</w:t>
      </w:r>
    </w:p>
    <w:p>
      <w:pPr>
        <w:ind w:left="46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Mr. Tompkins with the SEC on February 14, 2024. Consists of (i) 1,687,500 shares of common stock and (ii) 156,250 shares of common stock underlying the Bridge Warrants.</w:t>
      </w:r>
    </w:p>
    <w:p>
      <w:pPr>
        <w:jc w:val="both"/>
        <w:ind w:left="46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2,205,309 shares of common stock held directly by Ali Kashani, (ii) 16,070 shares of common stock held by Nikki Stoddart, the spouse of Dr. Kashani, (iii) 80,350 shares of common stock held by Salma Kashani, (iv) 8,035 shares of common stock held by Ali Sadeghi Hariri,</w:t>
      </w:r>
    </w:p>
    <w:p>
      <w:pPr>
        <w:jc w:val="both"/>
        <w:ind w:left="460" w:hanging="7"/>
        <w:spacing w:after="0" w:line="250" w:lineRule="auto"/>
        <w:tabs>
          <w:tab w:leader="none" w:pos="7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1,562 shares of common stock underlying warrants to purchase common stock which are exercisable within 60 days of July 26, 2024, (vi) 51,237 shares of common stock underlying options to purchase common stock which are or will become exercisable within 60 days of July 26, 2024 and</w:t>
      </w:r>
    </w:p>
    <w:p>
      <w:pPr>
        <w:jc w:val="both"/>
        <w:ind w:left="460" w:hanging="7"/>
        <w:spacing w:after="0" w:line="250" w:lineRule="auto"/>
        <w:tabs>
          <w:tab w:leader="none" w:pos="83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common stock subject to restricted stock units that vest within 60 days of July 26, 2024. Dr. Kashani shares control of the shares of common stock held by Ms. Stoddart. 968,664 shares of common stock held by Dr. Kashani are subject to a repurchase option held by the Company in the event that Dr. Kashani’s service with the Company is terminated.</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Exchange Act, as Dr. Kashani exercises voting control over these shares. Dr. Kashani does not have dispositive control over these shares of common stock.</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(vi) 14,044 shares of common stock underlying options which are or will become exercisable within 60 days of July 26, 2024 and (vii) 4,285 shares of common stock subject to restricted stock units that vest within 60 days of July 26, 2024. Mr. Parang disclaims beneficial ownership of the shares of common stock held by Armin Parang, Payman Parang, Shaghayegh Ahkami and Shahyar Ahkami. 356,776 shares of common stock held by Mr. Parang are subject to a repurchase option held by the Company in the event that Mr. Parang’s service with the Company is terminated.</w:t>
      </w:r>
    </w:p>
    <w:p>
      <w:pPr>
        <w:spacing w:after="0" w:line="2"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213,188 shares of common stock underlying options which are or will become exercisable within 60 days of July 26, 2024 and (ii) 1,459 shares of common stock subject to restricted stock units that vest within 60 days of July 26, 2024.</w:t>
      </w: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 shares of common stock subject to restricted stock units that vest within 60 days of July 26, 2024.</w:t>
      </w:r>
    </w:p>
    <w:p>
      <w:pPr>
        <w:spacing w:after="0" w:line="9" w:lineRule="exact"/>
        <w:rPr>
          <w:rFonts w:ascii="Times New Roman" w:cs="Times New Roman" w:eastAsia="Times New Roman" w:hAnsi="Times New Roman"/>
          <w:sz w:val="18"/>
          <w:szCs w:val="18"/>
          <w:color w:val="auto"/>
        </w:rPr>
      </w:pPr>
    </w:p>
    <w:p>
      <w:pPr>
        <w:jc w:val="both"/>
        <w:ind w:left="460" w:hanging="452"/>
        <w:spacing w:after="0" w:line="234"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659,035 shares of common stock held by Wavemaker Global Select II, LLC, (ii) 9,200 shares held by Future VC, LLC, and (iii) 77,291 shares of commonstock held by Match Robotics VC, LLC.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Santa Monica, California 90401. The address for Match Robotics VC, LLC is 1134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101, Santa Monica, California 90403.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common stock being offered by the selling stockholder are those issuable to the selling stockholder upon exercise of the Pre-Funded Warrants and the Investor Warrants. For additional information regarding the issuances of the Pre-Funded Warrants and the Investor Warrants, see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the Private Placement, the Public Offering, the July 2024 PIPE and Related Transactions</w:t>
      </w:r>
      <w:r>
        <w:rPr>
          <w:rFonts w:ascii="Times New Roman" w:cs="Times New Roman" w:eastAsia="Times New Roman" w:hAnsi="Times New Roman"/>
          <w:sz w:val="18"/>
          <w:szCs w:val="18"/>
          <w:color w:val="auto"/>
        </w:rPr>
        <w:t>” above. We are registering the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upon the exercise of the Pre-Funded Warrants and the Investor Warrants in order to permit the selling stockholder to offer the shares for resale from time to time. Except for the ownership of the Pre-Funded Warrants and the Investor Warrants, the selling stockholder has not had any material relationship with us within the past three years.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Pre-Funded Warrants and the Investor Warrants, as of July 26, 2024, assuming exercise of the Pre-Funded Warrants and the Investor Warrants held by the selling stockholder on that date, without regard to any limitations on exercises.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July 2024 PIPE Registration Rights Agreement, this prospectus generally covers the resale of the maximum number of shares of common stock issuable upon exercise of the Pre-Funded Warrants and the Investor Warrants, determined as if the outstanding Pre-Funded Warrants and the Investor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 pursuant to this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Pre-Funded Warrants, a selling stockholder may not exercise the Pre-Funded Warrants to the extent such exercise would cause such selling stockholder, together with its affiliates and attribution parties, to beneficially own a number of shares of common stock which would exceed 9.99% of our then outstanding common stock following such exercise, excluding for purposes of such determination shares of common stock issuable upon exercise of the Pre-Funded Warrants which have not been exercised. Under the terms of the Investor Warrants, a selling stockholder may not exercise the Investor Warrants to the extent such exercise would cause such selling stockholder, together with its affiliates and attribution parties, to beneficially own a number of shares of common stock which would exceed 4.99% of our then outstanding common stock following such exercise, excluding for purposes of such determination shares of common stock issuable upon exercise of the Investor Warrants which have not been exercised. The number of shares in the second and fourth columns do not reflect this limitation. The selling stockholder may sell all, some or none of their shares in this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Owned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Owned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Prospectus </w:t>
            </w:r>
            <w:r>
              <w:rPr>
                <w:rFonts w:ascii="Times New Roman" w:cs="Times New Roman" w:eastAsia="Times New Roman" w:hAnsi="Times New Roman"/>
                <w:sz w:val="29"/>
                <w:szCs w:val="29"/>
                <w:b w:val="1"/>
                <w:bCs w:val="1"/>
                <w:color w:val="auto"/>
                <w:w w:val="95"/>
                <w:vertAlign w:val="superscript"/>
              </w:rPr>
              <w:t>(1)</w:t>
            </w:r>
          </w:p>
        </w:tc>
        <w:tc>
          <w:tcPr>
            <w:tcW w:w="28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148"/>
        </w:trPr>
        <w:tc>
          <w:tcPr>
            <w:tcW w:w="72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Armistice Capital, LLC</w:t>
            </w: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5,000,000</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7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7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offered in this prospectus.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2,500,000 shares of common stock issuable upon exercise of the Pre-Funded Warrants and (ii) 2,500,000 shares of common stock issuable upon exercise of the Investor Warrants held by the selling stockholder. Both the Pre-Funded Warrants and Investor Warrants are subject to certain beneficial ownership limitations that prohibit Armistice from exercising any portion of them if, following such exercise, Armistice’s ownership of our common stock would exceed the relevant warrant’s ownership limitation.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Investor Warrants are subject to a beneficial ownership limitation of 4.99%, which such limitation restricts the selling stockholder from exercising that portion of the Investor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authorized capital stock consisting of 300,000,000 shares of common stock, par value $0.0001 per share, and 10,000,000 shares of preferred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had 24,957,814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stock options to purchase an aggregate of 1,501,341 shares of our common stock, with a weighted-average exercise price of $0.61 per share under the 2023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outstanding warrants to purchase an aggregate of 3,110,272 shares of our common stock, with a weighted-average exercise price of $0.94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spacing w:after="0" w:line="180" w:lineRule="exact"/>
        <w:rPr>
          <w:sz w:val="20"/>
          <w:szCs w:val="20"/>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and Amended and Restated Bylaw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72" w:lineRule="exact"/>
        <w:rPr>
          <w:sz w:val="20"/>
          <w:szCs w:val="20"/>
          <w:color w:val="auto"/>
        </w:rPr>
      </w:pPr>
    </w:p>
    <w:p>
      <w:pPr>
        <w:jc w:val="both"/>
        <w:ind w:left="660" w:hanging="328"/>
        <w:spacing w:after="0" w:line="25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Vacancies</w:t>
      </w:r>
      <w:r>
        <w:rPr>
          <w:rFonts w:ascii="Times New Roman" w:cs="Times New Roman" w:eastAsia="Times New Roman" w:hAnsi="Times New Roman"/>
          <w:sz w:val="18"/>
          <w:szCs w:val="18"/>
          <w:color w:val="auto"/>
        </w:rPr>
        <w:t>. Our amended and restated bylaws and certificate of incorporation provide, subject to the special rights of the holders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provide that our board of directors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into three classes of directors. The existence of a classified board of directors could delay a successful tender offeror from obtaining majority control of our board of directors, and the prospect of that delay might deter a potential offeror. See the section titled “</w:t>
      </w:r>
      <w:r>
        <w:rPr>
          <w:rFonts w:ascii="Times New Roman" w:cs="Times New Roman" w:eastAsia="Times New Roman" w:hAnsi="Times New Roman"/>
          <w:sz w:val="18"/>
          <w:szCs w:val="18"/>
          <w:i w:val="1"/>
          <w:iCs w:val="1"/>
          <w:color w:val="auto"/>
        </w:rPr>
        <w:t>Classified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for additional information.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Removed Only for Cause</w:t>
      </w:r>
      <w:r>
        <w:rPr>
          <w:rFonts w:ascii="Times New Roman" w:cs="Times New Roman" w:eastAsia="Times New Roman" w:hAnsi="Times New Roman"/>
          <w:sz w:val="18"/>
          <w:szCs w:val="18"/>
          <w:color w:val="auto"/>
        </w:rPr>
        <w:t>. Our amended and restated certificate of incorporation provide that stockholders may remove directors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cause and only by the affirmative vote of the holders of at least two-thirds (2/3) of the voting power of the then-outstanding shares of our capital stock entitled to vote generally in the election of directors, voting together as a single class.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jc w:val="both"/>
        <w:ind w:left="328" w:hanging="328"/>
        <w:spacing w:after="0" w:line="256"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Supermajority Requirements for Amendments of Our Amended and Restated Certificate of Incorporation and Amended and Restated Bylaws</w:t>
      </w:r>
      <w:r>
        <w:rPr>
          <w:rFonts w:ascii="Times New Roman" w:cs="Times New Roman" w:eastAsia="Times New Roman" w:hAnsi="Times New Roman"/>
          <w:sz w:val="18"/>
          <w:szCs w:val="18"/>
          <w:color w:val="auto"/>
        </w:rPr>
        <w:t>. Our amended and restated certificate of incorporation further provide that the affirmative vote of holders of at least 66 2/3% of our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Securityholder Action; Special Meetings of Stockholders</w:t>
      </w:r>
      <w:r>
        <w:rPr>
          <w:rFonts w:ascii="Times New Roman" w:cs="Times New Roman" w:eastAsia="Times New Roman" w:hAnsi="Times New Roman"/>
          <w:sz w:val="18"/>
          <w:szCs w:val="18"/>
          <w:color w:val="auto"/>
        </w:rPr>
        <w:t>. Our amended and restated certificate of incorporation provide that our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Notice Requirements for Securityholder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 unless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certificate of incorporation provides otherwise. Our amended and restated certificate of incorporation and amended and restated bylaws do not provide for cumulative voting.</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Undesignated Preferred Stock</w:t>
      </w:r>
      <w:r>
        <w:rPr>
          <w:rFonts w:ascii="Times New Roman" w:cs="Times New Roman" w:eastAsia="Times New Roman" w:hAnsi="Times New Roman"/>
          <w:sz w:val="18"/>
          <w:szCs w:val="18"/>
          <w:color w:val="auto"/>
        </w:rPr>
        <w:t>. Our amended and restated certificate of incorporation provides that our board has the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Forum</w:t>
      </w:r>
      <w:r>
        <w:rPr>
          <w:rFonts w:ascii="Times New Roman" w:cs="Times New Roman" w:eastAsia="Times New Roman" w:hAnsi="Times New Roman"/>
          <w:sz w:val="18"/>
          <w:szCs w:val="18"/>
          <w:color w:val="auto"/>
        </w:rPr>
        <w:t>. Our amended and restated certificate of incorporation provides that, unless we consent in writing to the selection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3" w:right="339" w:bottom="1440" w:gutter="0" w:footer="0" w:header="0"/>
        </w:sectPr>
      </w:pPr>
    </w:p>
    <w:bookmarkStart w:id="95" w:name="page96"/>
    <w:bookmarkEnd w:id="95"/>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87" w:lineRule="exact"/>
        <w:rPr>
          <w:sz w:val="20"/>
          <w:szCs w:val="20"/>
          <w:color w:val="auto"/>
        </w:rPr>
      </w:pPr>
    </w:p>
    <w:p>
      <w:pPr>
        <w:jc w:val="both"/>
        <w:ind w:left="660"/>
        <w:spacing w:after="0" w:line="277"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6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our capital stock shall be deemed to have notice of and consented to the forum selection provisions in the amended and restated certificate of incorporation.</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 The transfer agent’s address is 18 Lafayette Place, Woodmere, NY 11598, and its telephone number is (212) 828-8436.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7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Nasdaq.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26, 2024, we had 36,849,901 shares of common stock outstanding, of which our directors and executive officers beneficially own an aggregate of 3,869,730 shares. Of these shares, 14,502,453 shares of our common stock are freely tradable in the public market without restriction or further registration under the Securities Act, as of July 26,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under the Securities Act, which is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Public Offering, we agreed that, without the prior written consent of Aegis, we would not, for a period of twelve months after the closing of the Public Offering, subject to certain exceptions, (a) offer, sell, issue, or otherwise transfer or dispose of, directly or indirectly, any of our equity securities or any securities convertible into or exercisable or exchangeable for our equity securities; (b) file or cause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common stock or any such other securities, whether any such transaction described in clause (a) or (c) above is to be settled by delivery of our common stock or such other securities, in cash or otherwise, or enter into any agreement or announce the intention to effect any of the actions described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employees and principal stockholders (holding 5% or more of our common stock) agreed that, without the prior written consent of Aegis, they will not, subject to certain exceptions, during the period ending 180 days after the closing of the Public Offering, offer, issue, sell, contract to sell, encumber grant any option for the sale of or otherwise dispose any shares of our common stock or any securities convertible into or exercisable or exchangeable for shares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substantially all of the shares of our common stock will be eligible for sale in the public market in compliance with Rule 144 or another exemption under the Securities Act or pursuant to an effective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144 promulgated under the Securities Act, sales of the securities of a former shell company, such as us, under that rule are not permitted</w:t>
      </w:r>
    </w:p>
    <w:p>
      <w:pPr>
        <w:spacing w:after="0" w:line="27" w:lineRule="exact"/>
        <w:rPr>
          <w:sz w:val="20"/>
          <w:szCs w:val="20"/>
          <w:color w:val="auto"/>
        </w:rPr>
      </w:pPr>
    </w:p>
    <w:p>
      <w:pPr>
        <w:jc w:val="both"/>
        <w:ind w:firstLine="8"/>
        <w:spacing w:after="0" w:line="251" w:lineRule="auto"/>
        <w:tabs>
          <w:tab w:leader="none" w:pos="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intend to register such shares for sale under the Securities Act but are currently a “voluntary filer” and are not subject to the reporting requirements of Section 13 or Section 15(d) of the Exchange Act. As a result, unless we register such shares for sale under the Securities Act, most of our stockholders will be forced to hold their shares of our common stock for at least that 12-month period before they are eligible to sell those shares, and even after that 12-month period, sales may not be made under Rule 144 unless we and the selling stockholder are in compliance with other requirements of Rule 144.</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 (b) 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by this prospectus will be passed upon for us by Orrick, Herrington &amp; Sutcliffe LLP, Boston, Massachusetts.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Serve Robotics Inc. as of and for each of the years ended December 31, 2023 and 2022,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request a copy of these filings, at no cost, by writing or telephoning us at: Serve Robotics Inc. 730 Broadway, Redwood City, California 94063, (818) 860-1352.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9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12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Serve Robotics Inc.</w:t>
            </w:r>
          </w:p>
        </w:tc>
        <w:tc>
          <w:tcPr>
            <w:tcW w:w="1120" w:type="dxa"/>
            <w:vAlign w:val="bottom"/>
          </w:tcPr>
          <w:p>
            <w:pPr>
              <w:spacing w:after="0"/>
              <w:rPr>
                <w:sz w:val="24"/>
                <w:szCs w:val="24"/>
                <w:color w:val="auto"/>
              </w:rPr>
            </w:pPr>
          </w:p>
        </w:tc>
      </w:tr>
      <w:tr>
        <w:trPr>
          <w:trHeight w:val="432"/>
        </w:trPr>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for the Three Months Ended March 31, 2024 and 2023</w:t>
            </w:r>
          </w:p>
        </w:tc>
        <w:tc>
          <w:tcPr>
            <w:tcW w:w="11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080" w:type="dxa"/>
            <w:vAlign w:val="bottom"/>
            <w:tcBorders>
              <w:bottom w:val="single" w:sz="8" w:color="0000EE"/>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Balance Sheets as of March 31, 2024 and December 31, 2023</w:t>
            </w:r>
          </w:p>
        </w:tc>
        <w:tc>
          <w:tcPr>
            <w:tcW w:w="30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6"/>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2024 and 2023</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(Deficit) for the Three Months Ended March 31,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7"/>
        </w:trPr>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0000EE"/>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9140" w:type="dxa"/>
            <w:vAlign w:val="bottom"/>
            <w:tcBorders>
              <w:top w:val="single" w:sz="8" w:color="0000EE"/>
              <w:bottom w:val="single" w:sz="8" w:color="CCEEFF"/>
            </w:tcBorders>
            <w:gridSpan w:val="11"/>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2024 and 2023</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3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432"/>
        </w:trPr>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Audited Consolidated Financial Statements for the Years Ended December 31, 2023 and 2022</w:t>
            </w:r>
          </w:p>
        </w:tc>
        <w:tc>
          <w:tcPr>
            <w:tcW w:w="112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#3501)</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F-19</w:t>
            </w:r>
          </w:p>
        </w:tc>
      </w:tr>
      <w:tr>
        <w:trPr>
          <w:trHeight w:val="176"/>
        </w:trPr>
        <w:tc>
          <w:tcPr>
            <w:tcW w:w="57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4360" w:type="dxa"/>
            <w:vAlign w:val="bottom"/>
            <w:tcBorders>
              <w:top w:val="single" w:sz="8" w:color="CCEEFF"/>
            </w:tcBorders>
            <w:gridSpan w:val="8"/>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years ended December 31, 2023 and 2022</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F-22</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F-23</w:t>
            </w:r>
          </w:p>
        </w:tc>
      </w:tr>
      <w:tr>
        <w:trPr>
          <w:trHeight w:val="176"/>
        </w:trPr>
        <w:tc>
          <w:tcPr>
            <w:tcW w:w="64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6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F-24</w:t>
            </w:r>
          </w:p>
        </w:tc>
      </w:tr>
      <w:tr>
        <w:trPr>
          <w:trHeight w:val="675"/>
        </w:trPr>
        <w:tc>
          <w:tcPr>
            <w:tcW w:w="16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32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9"/>
          </w:tcPr>
          <w:p>
            <w:pPr>
              <w:jc w:val="center"/>
              <w:ind w:right="368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427,482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266,030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736,535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629,610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676,969</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973,491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3,033,148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1,461,029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33,839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668,462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782,439</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512,659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512,659</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4,248,108</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2,804,549</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1,725,064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2,050,605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1,151,158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68,899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net of debt discount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4,549,395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1,489,000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474,649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2,335,796</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2,363,807</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12,793,961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154,630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158,617</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105,643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211,181</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both March</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24,957,814 and 24,832,814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24,633,795 and 24,508,795 shares outstanding as of both March 31, 2024 and December 31, 2023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68,729,393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64,468,141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(165,629)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(169,616)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(77,372,352)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(68,334,381)</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(8,806,126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(4,033,406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4,248,108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2,804,549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946,711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40,252</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352,438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367,261</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594,273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1,008,071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1,015,987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540,974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521,687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6,638,441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2,082,949</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118,236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279,582</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8,305,722</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3,900,205</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(7,711,449)</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(4,227,214)</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(1,326,522)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(869,164)</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(1,326,522)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(9,037,971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(5,138,122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24,556,343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6,708,450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2040" w:type="dxa"/>
            <w:vAlign w:val="bottom"/>
          </w:tcPr>
          <w:p>
            <w:pPr>
              <w:spacing w:after="0"/>
              <w:rPr>
                <w:sz w:val="11"/>
                <w:szCs w:val="11"/>
                <w:color w:val="auto"/>
              </w:rPr>
            </w:pPr>
          </w:p>
        </w:tc>
        <w:tc>
          <w:tcPr>
            <w:tcW w:w="900" w:type="dxa"/>
            <w:vAlign w:val="bottom"/>
            <w:gridSpan w:val="4"/>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Series Seed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Seed-1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Series Seed-2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Seed-3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76"/>
        </w:trPr>
        <w:tc>
          <w:tcPr>
            <w:tcW w:w="2040" w:type="dxa"/>
            <w:vAlign w:val="bottom"/>
          </w:tcPr>
          <w:p>
            <w:pPr>
              <w:spacing w:after="0"/>
              <w:rPr>
                <w:sz w:val="15"/>
                <w:szCs w:val="15"/>
                <w:color w:val="auto"/>
              </w:rPr>
            </w:pPr>
          </w:p>
        </w:tc>
        <w:tc>
          <w:tcPr>
            <w:tcW w:w="1200" w:type="dxa"/>
            <w:vAlign w:val="bottom"/>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26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5"/>
                <w:szCs w:val="15"/>
                <w:color w:val="auto"/>
              </w:rPr>
            </w:pPr>
          </w:p>
        </w:tc>
        <w:tc>
          <w:tcPr>
            <w:tcW w:w="700" w:type="dxa"/>
            <w:vAlign w:val="bottom"/>
            <w:gridSpan w:val="2"/>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2040" w:type="dxa"/>
            <w:vAlign w:val="bottom"/>
          </w:tcPr>
          <w:p>
            <w:pPr>
              <w:spacing w:after="0"/>
              <w:rPr>
                <w:sz w:val="13"/>
                <w:szCs w:val="13"/>
                <w:color w:val="auto"/>
              </w:rPr>
            </w:pPr>
          </w:p>
        </w:tc>
        <w:tc>
          <w:tcPr>
            <w:tcW w:w="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700" w:type="dxa"/>
            <w:vAlign w:val="bottom"/>
            <w:gridSpan w:val="2"/>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135"/>
        </w:trPr>
        <w:tc>
          <w:tcPr>
            <w:tcW w:w="20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540" w:type="dxa"/>
            <w:vAlign w:val="bottom"/>
            <w:tcBorders>
              <w:top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92"/>
              </w:rPr>
              <w:t>3,091,672</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81"/>
              </w:rPr>
              <w:t>309</w:t>
            </w: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w w:val="92"/>
              </w:rPr>
              <w:t>2,440,411</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81"/>
              </w:rPr>
              <w:t>244</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2,088,696</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209</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357,836</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6,826,352</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683</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$31,232,737</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(165,719)</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(43,520,645)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(12,452,146)</w:t>
            </w:r>
          </w:p>
        </w:tc>
        <w:tc>
          <w:tcPr>
            <w:tcW w:w="60" w:type="dxa"/>
            <w:vAlign w:val="bottom"/>
            <w:tcBorders>
              <w:top w:val="single" w:sz="8" w:color="CCEEFF"/>
            </w:tcBorders>
            <w:shd w:val="clear" w:color="auto" w:fill="CCEEFF"/>
          </w:tcPr>
          <w:p>
            <w:pPr>
              <w:spacing w:after="0"/>
              <w:rPr>
                <w:sz w:val="11"/>
                <w:szCs w:val="11"/>
                <w:color w:val="auto"/>
              </w:rPr>
            </w:pPr>
          </w:p>
        </w:tc>
      </w:tr>
      <w:tr>
        <w:trPr>
          <w:trHeight w:val="117"/>
        </w:trPr>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 purchased with</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2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recourse notes</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3,436</w:t>
            </w:r>
          </w:p>
        </w:tc>
        <w:tc>
          <w:tcPr>
            <w:tcW w:w="1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2,234</w:t>
            </w:r>
          </w:p>
        </w:tc>
      </w:tr>
      <w:tr>
        <w:trPr>
          <w:trHeight w:val="135"/>
        </w:trPr>
        <w:tc>
          <w:tcPr>
            <w:tcW w:w="2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awards repurchased</w:t>
            </w:r>
          </w:p>
        </w:tc>
        <w:tc>
          <w:tcPr>
            <w:tcW w:w="58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(238,625)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7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2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93,943</w:t>
            </w:r>
          </w:p>
        </w:tc>
        <w:tc>
          <w:tcPr>
            <w:tcW w:w="160" w:type="dxa"/>
            <w:vAlign w:val="bottom"/>
          </w:tcPr>
          <w:p>
            <w:pPr>
              <w:spacing w:after="0"/>
              <w:rPr>
                <w:sz w:val="11"/>
                <w:szCs w:val="11"/>
                <w:color w:val="auto"/>
              </w:rPr>
            </w:pPr>
          </w:p>
        </w:tc>
        <w:tc>
          <w:tcPr>
            <w:tcW w:w="62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93,943</w:t>
            </w:r>
          </w:p>
        </w:tc>
      </w:tr>
      <w:tr>
        <w:trPr>
          <w:trHeight w:val="16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(5,138,122)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(5,138,122)</w:t>
            </w:r>
          </w:p>
        </w:tc>
      </w:tr>
      <w:tr>
        <w:trPr>
          <w:trHeight w:val="169"/>
        </w:trPr>
        <w:tc>
          <w:tcPr>
            <w:tcW w:w="2040" w:type="dxa"/>
            <w:vAlign w:val="bottom"/>
            <w:tcBorders>
              <w:top w:val="single" w:sz="8" w:color="CCEEFF"/>
              <w:bottom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540" w:type="dxa"/>
            <w:vAlign w:val="bottom"/>
            <w:tcBorders>
              <w:top w:val="single" w:sz="8" w:color="auto"/>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92"/>
              </w:rPr>
              <w:t>3,091,672</w:t>
            </w:r>
          </w:p>
        </w:tc>
        <w:tc>
          <w:tcPr>
            <w:tcW w:w="4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3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81"/>
              </w:rPr>
              <w:t>309</w:t>
            </w:r>
          </w:p>
        </w:tc>
        <w:tc>
          <w:tcPr>
            <w:tcW w:w="80" w:type="dxa"/>
            <w:vAlign w:val="bottom"/>
            <w:tcBorders>
              <w:top w:val="single" w:sz="8" w:color="CCEEFF"/>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92"/>
              </w:rPr>
              <w:t>2,440,411</w:t>
            </w:r>
          </w:p>
        </w:tc>
        <w:tc>
          <w:tcPr>
            <w:tcW w:w="80" w:type="dxa"/>
            <w:vAlign w:val="bottom"/>
            <w:tcBorders>
              <w:top w:val="single" w:sz="8" w:color="CCEEFF"/>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w w:val="81"/>
              </w:rPr>
              <w:t>244</w:t>
            </w:r>
          </w:p>
        </w:tc>
        <w:tc>
          <w:tcPr>
            <w:tcW w:w="80" w:type="dxa"/>
            <w:vAlign w:val="bottom"/>
            <w:tcBorders>
              <w:top w:val="single" w:sz="8" w:color="CCEEFF"/>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2,088,696</w:t>
            </w:r>
          </w:p>
        </w:tc>
        <w:tc>
          <w:tcPr>
            <w:tcW w:w="80" w:type="dxa"/>
            <w:vAlign w:val="bottom"/>
            <w:tcBorders>
              <w:top w:val="single" w:sz="8" w:color="CCEEFF"/>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2"/>
              </w:rPr>
              <w:t>209</w:t>
            </w:r>
          </w:p>
        </w:tc>
        <w:tc>
          <w:tcPr>
            <w:tcW w:w="8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357,836</w:t>
            </w:r>
          </w:p>
        </w:tc>
        <w:tc>
          <w:tcPr>
            <w:tcW w:w="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6,590,547</w:t>
            </w:r>
          </w:p>
        </w:tc>
        <w:tc>
          <w:tcPr>
            <w:tcW w:w="8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659</w:t>
            </w:r>
          </w:p>
        </w:tc>
        <w:tc>
          <w:tcPr>
            <w:tcW w:w="60" w:type="dxa"/>
            <w:vAlign w:val="bottom"/>
            <w:tcBorders>
              <w:top w:val="single" w:sz="8" w:color="CCEEFF"/>
              <w:bottom w:val="single" w:sz="8" w:color="CCEEFF"/>
            </w:tcBorders>
          </w:tcPr>
          <w:p>
            <w:pPr>
              <w:spacing w:after="0"/>
              <w:rPr>
                <w:sz w:val="14"/>
                <w:szCs w:val="14"/>
                <w:color w:val="auto"/>
              </w:rPr>
            </w:pPr>
          </w:p>
        </w:tc>
        <w:tc>
          <w:tcPr>
            <w:tcW w:w="40" w:type="dxa"/>
            <w:vAlign w:val="bottom"/>
            <w:tcBorders>
              <w:top w:val="single" w:sz="8" w:color="CCEEFF"/>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31,330,116</w:t>
            </w:r>
          </w:p>
        </w:tc>
        <w:tc>
          <w:tcPr>
            <w:tcW w:w="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(166,921</w:t>
            </w:r>
          </w:p>
        </w:tc>
        <w:tc>
          <w:tcPr>
            <w:tcW w:w="8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8"/>
              </w:rPr>
              <w:t>(48,658,767</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8"/>
              </w:rPr>
              <w:t>(17,494,115</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35"/>
        </w:trPr>
        <w:tc>
          <w:tcPr>
            <w:tcW w:w="20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58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9"/>
              </w:rPr>
              <w:t>24,508,795</w:t>
            </w:r>
          </w:p>
        </w:tc>
        <w:tc>
          <w:tcPr>
            <w:tcW w:w="160" w:type="dxa"/>
            <w:vAlign w:val="bottom"/>
            <w:gridSpan w:val="2"/>
          </w:tcPr>
          <w:p>
            <w:pPr>
              <w:jc w:val="right"/>
              <w:ind w:right="25"/>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2,450</w:t>
            </w: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$64,468,141</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(169,616)</w:t>
            </w: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(68,334,381)</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(4,033,406)</w:t>
            </w:r>
          </w:p>
        </w:tc>
      </w:tr>
      <w:tr>
        <w:trPr>
          <w:trHeight w:val="135"/>
        </w:trPr>
        <w:tc>
          <w:tcPr>
            <w:tcW w:w="2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warrants</w:t>
            </w:r>
          </w:p>
        </w:tc>
        <w:tc>
          <w:tcPr>
            <w:tcW w:w="58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125,000</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5,820</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5,832</w:t>
            </w: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on recourse loan</w:t>
            </w:r>
          </w:p>
        </w:tc>
        <w:tc>
          <w:tcPr>
            <w:tcW w:w="58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2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3,987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3,987</w:t>
            </w:r>
          </w:p>
        </w:tc>
      </w:tr>
      <w:tr>
        <w:trPr>
          <w:trHeight w:val="135"/>
        </w:trPr>
        <w:tc>
          <w:tcPr>
            <w:tcW w:w="2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4,255,432</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4,255,432</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(9,037,971)</w:t>
            </w: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(9,037,971)</w:t>
            </w:r>
          </w:p>
        </w:tc>
      </w:tr>
      <w:tr>
        <w:trPr>
          <w:trHeight w:val="142"/>
        </w:trPr>
        <w:tc>
          <w:tcPr>
            <w:tcW w:w="20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5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24,633,795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2,462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68,729,393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(165,629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(77,372,352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(8,806,126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2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(9,037,971)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465,640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4,255,432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93,943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1,212,836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869,164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recourse loan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(263,075)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8,626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37,814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(325,541)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64,191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(82,168)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68,899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liabilities, net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(13,875)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(4,078,380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(3,713,409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simple agreement for future equity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2,666,953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4,844,625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note payable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 related party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 financing</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(28,011)</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(552,786)</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420,726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(1,849,242)</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2,715,719</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427,482</w:t>
            </w:r>
          </w:p>
        </w:tc>
        <w:tc>
          <w:tcPr>
            <w:tcW w:w="2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866,477</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35,892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40,630</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restricted stock purchased with recourse notes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3,436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973,491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Operating Co. (“Serve”) (formerly known as Serve Robotics Inc.) is a corporation formed on January 15, 2021 under the laws of the State of Delaware.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2023, Patricia’s wholly-owned subsidiary, Serve Acquisition Corp., a corporation formed in the State of Delaware on July 10, 2023 (“Acquisition Sub”), merged with and into the Company (as defined below). Pursuant to this transaction (the “Merger”), Serve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Merger, Patricia acquired the business of Serve and will continue the existing business operations of Serve as a public reporting company under the name Serve Robotics Inc. (the “Company”). The Company is developing autonomous robots for last-mile delivery services. The Company is headquartered in Redwood City, California. In accordance with “reverse merger” or “reverse acquisition” accounting treatment, the Company was determined the accounting acquirer. Patricia’s historical financial statements before the Merger have been replaced with the historical financial statements of Serve before the Merger in filings with the SEC since the Merger unless otherwise noted.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(the “Underwriting Agreement”) with Aegis Capital Corp. (“Aegis”) in connection with the public offering of 10,000,000 shares of the Company’s common stock, par value $0.0001, at a public offering price of $4.00 per share (the “Offering”). The Company’s net proceeds from the Offering, after deducting the underwriting discount and other estimated offering expenses payable by the Company, were approximately $35.7 million. As a result of the Offering, the Company’s Common Stock was approved for listing on The Nasdaq Capital Market and commenced trading under the ticker symbol “SERV” beginning on April 18, 2024. See Note 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Company has sustained net losses of $9,037,971 and $5,138,122 for the three months ended March 31, 2024 and 2023, respectively and has negative cash flow from operations for the three months ended March 31, 2024 and 2023. The Company requires additional capital to operate and expects losses to continue for the foreseeable future. These factors raise substantial doubts about the Company’s ability to continue as a going concern.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$35.7 million in equity pursuant to our April 2024 Offering (see Note 11).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MERGER ACCOUNTING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 is December 31.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financial statements and related notes have been prepared in accordance with GAAP for interim financial information, within the rules and regulations of the United States Securities and Exchange Commission (the “SEC”). Certain information and disclosures normally included in the annual financial statements prepared in accordance with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three-month periods are unaudited. Unaudited interim results are not necessarily indicative of the results for the full fiscal year. The accompanying unaudited interim condensed financial statements should be read in conjunction with the Company’s audited financial statements and the notes thereto for the year ended December 31, 2023 included in the Form 10-K filed with the SEC on February 29,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the valuations of common stock and options.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March 31, 2024 and December 31, 2023, all of the Company’s cash and cash equivalents were held at one accredited financial institution.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one customer accounted for 90% of the Company’s revenue and accounted for 83% of the Company’s accounts receivable. In the same period in 2023, a different customer accounted for 50% of the Company’s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prepaid expenses and accounts payable and accrued expenses approximate their fair values due to the short-term nature of these assets and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See Note 5 for fair value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March 31, 2024 and December 31, 2023, the Company determined there was no allowance for doubtful accounts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market value and accounted for using the specific identification cost method. As of March 31, 2024 and December 31, 2023, inventory primarily consists of robotic component parts purchased from the Company’s suppliers. Management reviews its inventory for obsolescence and impairment periodically and did not record a reserve for obsolete inventory for the three months ended March 31,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March 31, 2024, the Company capitalized $973,491 in deferred offering costs pertaining to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Convertible Instruments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revenue in accordance with ASC 606 – Revenue from Contracts with Customers (“ASC 606”). The Company determines revenue recognition through the following steps:</w:t>
      </w:r>
    </w:p>
    <w:p>
      <w:pPr>
        <w:spacing w:after="0" w:line="16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on its software services over time. The Company utilizes labor hours as a measure of progress to estimate the percentage of completion of the performance obligation at each reporting period. Service fees that have been invoiced or paid but performance obligations have not been met are recorded as deferred revenue. As of March 31, 2024, the Company had $68,899 in deferred revenue pertaining to software services, which will be recognized in the second quarter of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The disaggregation of revenue is as follows:</w:t>
            </w: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3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3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32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Services</w:t>
            </w:r>
          </w:p>
        </w:tc>
        <w:tc>
          <w:tcPr>
            <w:tcW w:w="4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25,252</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Branding fees</w:t>
            </w:r>
          </w:p>
        </w:tc>
        <w:tc>
          <w:tcPr>
            <w:tcW w:w="4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0"/>
        </w:trPr>
        <w:tc>
          <w:tcPr>
            <w:tcW w:w="4320" w:type="dxa"/>
            <w:vAlign w:val="bottom"/>
            <w:tcBorders>
              <w:top w:val="single" w:sz="8" w:color="CCEEFF"/>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946,711</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40,252</w:t>
            </w:r>
          </w:p>
        </w:tc>
        <w:tc>
          <w:tcPr>
            <w:tcW w:w="100" w:type="dxa"/>
            <w:vAlign w:val="bottom"/>
            <w:tcBorders>
              <w:top w:val="single" w:sz="8" w:color="CCEEFF"/>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 producing activities, personnel time related to revenue activities, and costs related to data, software and similar costs that allow the robots to function as intended and for the Company to communicate with the robots while in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 included in sales and marketing expenses. Advertising expenses were approximately $16,000 and $184,000 for the three months ended March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for field operations personnel.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product design, hardware and software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(“ASU”) 2016 02, Leases (ASC 842). This ASU requires a lessee to recognize a right-of-use (“ROU”) asset and a lease liability under most operating leases in its balance sheet. The Company adopted ASC 842 on January 1, 2022 using the modified retrospective approach. The Company elected the package of practical expedients available for existing contracts, which allowed the Company to carry forward its historical assessments of lease identification, lease classification, and initial direct costs. and did not require retrospective medication. The Company also elected a policy to not apply the recognition requirements of ASC 842 for short-term leases with a term of 12 months or less.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62" w:lineRule="exact"/>
        <w:rPr>
          <w:sz w:val="20"/>
          <w:szCs w:val="20"/>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substantially all of the economic benefits of the asset;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4" w:name="page115"/>
    <w:bookmarkEnd w:id="114"/>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March 31, 2024 and 2023, diluted net loss per share is the same as basic net loss per share for each period. Potentially dilutive items outstanding as of March 31, 2024 and 2023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3,091,672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Seed-1 preferred stock (convertible 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2,440,411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Seed-2 preferred stock (convertible 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2,088,696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Seed-3 preferred stock (convertible 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357,836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3,110,272</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54,203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1,501,341</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1,080,532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324,019</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332,481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potentially dilutive shares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7,040,194</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9,574,651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common shares that the convertible notes, including principal and accrued interest, converted into upon the closing of the Offering in April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could have a material effect on the accompanying consolidated financial statements. As new accounting pronouncements are issued, the Company will adopt those that are applicable under the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68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as of March 31, 2024 Using:</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36"/>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1,489,000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Derivative liability</w:t>
            </w:r>
          </w:p>
        </w:tc>
        <w:tc>
          <w:tcPr>
            <w:tcW w:w="8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97"/>
              </w:rPr>
              <w:t>1,489,000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6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Level 1, 2or 3 assets or liabilities as of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liability is valued using a probability-weighted scenario analysis utilizing the terms of the notes under the with-or-without method. The Company determined a 100% probability of conversion into equity as the notes were converted into shares of common stock upon the Offering in April 2024 (see Note 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2024:</w:t>
      </w:r>
    </w:p>
    <w:p>
      <w:pPr>
        <w:spacing w:after="0" w:line="221"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8"/>
          <w:szCs w:val="18"/>
          <w:b w:val="1"/>
          <w:bCs w:val="1"/>
          <w:color w:val="auto"/>
        </w:rPr>
        <w:t>Embedded</w:t>
      </w:r>
    </w:p>
    <w:p>
      <w:pPr>
        <w:spacing w:after="0" w:line="3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b w:val="1"/>
          <w:bCs w:val="1"/>
          <w:color w:val="auto"/>
        </w:rPr>
        <w:t>Derivative</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embedded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March 31, 2024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055" w:hanging="1055"/>
        <w:spacing w:after="0"/>
        <w:tabs>
          <w:tab w:leader="none" w:pos="10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1,489,000</w:t>
      </w:r>
    </w:p>
    <w:p>
      <w:pPr>
        <w:spacing w:after="0" w:line="9" w:lineRule="exact"/>
        <w:rPr>
          <w:rFonts w:ascii="Times New Roman" w:cs="Times New Roman" w:eastAsia="Times New Roman" w:hAnsi="Times New Roman"/>
          <w:sz w:val="18"/>
          <w:szCs w:val="18"/>
          <w:color w:val="auto"/>
        </w:rPr>
      </w:pPr>
    </w:p>
    <w:p>
      <w:pPr>
        <w:ind w:left="105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95" w:hanging="395"/>
        <w:spacing w:after="0"/>
        <w:tabs>
          <w:tab w:leader="none" w:pos="395" w:val="left"/>
        </w:tabs>
        <w:numPr>
          <w:ilvl w:val="0"/>
          <w:numId w:val="6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1,489,000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873"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property and equipment, net: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Robot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2,092,293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2,092,293</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(2,312,455)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(2,294,532)</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$17,923 and $465,640 for the three months ended March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Valley Bank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note payable, net of unamortized discount of $14,984 and $19,067, was $985,016 and $1,230,933, all respectively. During the three months ended March 31, 2024 and 2023, the Company made repayments of $250,000 and $250,000, respectively. During the three months ended March 31, 2024 and 2023, amortization of debt discount was $1,212,836 and $4,000,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 Related Party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 The note bore interest at 7.67% per annum. The note was fully repaid on January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various dates in January 2024, the Company issued to certain accredited investors convertible promissory notes of $5,014,500, for which the Company received $4,844,625 in net proceeds (the “January Notes”). As a result, the Company incurred fees of $169,875 which was recorded as a debt discount. The January Notes bear interest at a rate of 6.00% per year, compounded annually, and are due and payable upon request by each investor on or after the 12-month anniversary of the original issuance date of each note. The Company may not prepay or repay the January Notes in cash without the consent of the investors. The January Notes convert upon a qualified offering into common stock at the lesser of the price paid per share multiplied by 75% or the quotient resulting from dividing $80,000,000 by the outstanding shares of common stock on a fully diluted basis prior to the financing (the “Conversion Price”).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evaluated the terms of the conversion features of the January Notes as noted above in accordance with ASC Topic No. 815 - 40,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 Contracts in Entity’s Own Stock, </w:t>
      </w:r>
      <w:r>
        <w:rPr>
          <w:rFonts w:ascii="Times New Roman" w:cs="Times New Roman" w:eastAsia="Times New Roman" w:hAnsi="Times New Roman"/>
          <w:sz w:val="18"/>
          <w:szCs w:val="18"/>
          <w:color w:val="auto"/>
        </w:rPr>
        <w:t>and determined they are not indexed to the Company’s common stock and that the conversion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akin to a redemption feature, meets the definition of a liability. The January Notes contain an indeterminate number of shares to settle with conversion options outside of the Company’s control. Therefore, the Company bifurcated the conversion feature and accounted for it as a separate derivative liability. Upon issuance of the January Notes, the Company recognized a derivative liability at a fair value of $1,489,000, which is recorded as a debt discount and was amortized over the life of the January Notes. There was no change in fair value to the derivative liability as of March 31, 2024.</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January Notes, the Company recognized an aggregate debt discount of $1,658,875. Through March 31, 2024, $1,193,770 of the debt discount was amortized to interest expense. At March 31, 2024, the outstanding balance of the January Notes, less unamortized discount of $465,105, was $4,549,395.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incurred $62,681 in interest expense pertaining to the January Notes, all of which were unpaid as of March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closing of the Offering in April 2024, the outstanding principal and accrued interest of the January Notes converted into 2,104,562 shares of common stock. Accordingly, the related derivative liability was recorded into additional paid-in capital. See Note 11.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January Notes, the Company granted the placement agent warrants to purchase (the “Convertible Promissory Notes Offering Warrants”) to purchase common stock equal to 10% of the number of shares of common stock into which the January Notes sold to investors introduced by the placement agent are initially convertible. The Convertible Promissory Notes Offering Warrants will be exercisable at the same price as the Conversion Price. As the issuance of the Convertible Promissory Notes Offering Warrants were contingent on the closing of the Offering and terms were not known until the contingency was resolved, they were not considered granted until April 17, 2024 (see Note 11) and no value was recognized in the consolidated financial statements as of March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closing of the Merger, there were 10,000,000 and 300,000,000 shares of preferred and common stock, respectively, par value $0.0001 per share, authorized for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125,000 common stock warrants were exercised for proceeds of $5,832.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Company’s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As of March 31, 2024, the subscription receivable balance was $165,629 and the corresponding restricted stock award liability was $154,630.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stock-based compensation pertaining to vesting of restricted common stock of $41,303 and $71,362,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repurchased restricted stock awards of 0 and 238,625 shares of common stock, respectively, for nominal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warrants for the three months ended March 31, 2024: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2,145,000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965,272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4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weighted-average remaining term of the warrants outstanding was 7.74 years as of March 31, 2024.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February 2024, 125,000 placement agent warrants were exercised for shares of common stock for proceeds of $5,832.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87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Magna Warrant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New Mobility USA, Inc. (“Magna”), retroactively effective as of January 15, 2024 (the “Effective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the Company issued to Magna a warrant (the “Magna Warrant”) to purchase up to 2,145,000 shares of its common stock (the “Magna Warrant Shares”), subject to at an exercise price of $0.01 per share. The warrants were issued pursuant to a production agreement executed in connection with the MSA between the parties in April 2024 whereby Magna will assist the Company in assembly of robotic delivery vehicles.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Magna Warrant was $8,566,184, which was valued using the Black-Scholes pricing model using the range of inputs as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$4,182,543 in stock-based compensation expense pertaining to these warrants during the three months ended March 31, 2024 based on the vesting conditions noted above and the Company’s estimations of when the services will be completed. The Company recorded the expense to research and development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Serve Robotics 2021 Equity Incentive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the Serve Robotics 2021 Equity Incentive Plan (the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March 31, 2024. As of March 31, 2024, there were 52,627 shares available for grant under the 2021 Plan. Stock options granted under the 2021 Plan typically vest over a four-year period, with a one-year cliff as well as via specified milestones.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three months ended March 31, 2024 is as follows: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8000" w:type="dxa"/>
            <w:vAlign w:val="bottom"/>
          </w:tcPr>
          <w:p>
            <w:pPr>
              <w:spacing w:after="0"/>
              <w:rPr>
                <w:sz w:val="21"/>
                <w:szCs w:val="21"/>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5,062,741</w:t>
            </w:r>
          </w:p>
        </w:tc>
      </w:tr>
      <w:tr>
        <w:trPr>
          <w:trHeight w:val="21"/>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853,478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2,865,304</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and expected to vest at March 31, 2024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1,501,341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5,062,741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weighted average duration to expiration of outstanding options was 8.24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of $29,266 and $22,581 was recognized under ASC 718 for the three months ended March 31, 2024 and 2023, respectively. Total unrecognized compensation cost related to non-vested stock option awards amounted to approximately $335,000 as of March 31, 2024, which will be recognized over a weighted average period of 2.25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common stock (Note 8) and the Magna Warrant (Note 8) was classified in the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4,239,748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72,271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4,255,432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 Right of Use Asset and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59,645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32,231</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costs</w:t>
            </w:r>
          </w:p>
        </w:tc>
        <w:tc>
          <w:tcPr>
            <w:tcW w:w="3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100,739</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209,386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F-17</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136,266</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are as follows: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5"/>
              </w:rPr>
              <w:t>1.30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8"/>
              </w:rPr>
              <w:t>7.25%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 – Failed Sales-Leaseback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robot assets. As per ASC 842-40-25-1, the transaction was considered a failed sales-leaseback and therefore the lease was accounted for as a financing agreement. The outstanding liability at March 31, 2024 was $2,335,796. The Company has the option to purchase the assets at the end of the lease for 45% of the original equipment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strategic supply agreement with a manufacturer of component parts used for the Company’s robot assets. The agreement originally called for the Company to make a minimum of $2.30 million in purchases over a two-year period ending December 2023. At the end of the two-year period, the manufacturer was permitted to invoice the Company for any shortfall in orders. This agreement was extended in January 2024, pursuant to which half of the required $2.30 million is to be purchased in 2024 and the other half by December 31, 2025. The Company has minimum spend agreements related to simulation software and storage services. The purchase commitments extend for a period of two to three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be subject to pending legal proceedings and regulatory actions in the ordinary course of business. The results of such proceedings cannot be predicted with certainty, but the Company does not anticipate that the final outcome, if any, arising out of any such matters will have a material adverse effect 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17, 2024, the Company entered into an underwriting agreement with Aegis Capital Corp. in connection with the Offering. The Company’s net proceeds from the Offering, after deducting the underwriting discount and other estimated offering expenses payable by the Company, were approximately $35.7 million. As a result of the Offering, the Company’s Common Stock became listed on The Nasdaq Capital Market and now trades under the ticker symbol “SERV”.</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at the closing of the Offering on April 22, 2024, the Company issued to Aegis a warrant to purchase 500,000 shares of Common Stock (the “Representative’s Warrant”). The Representative’s Warrant is exercisable at a per share exercise price equal to $5.00 and is exercisable at any time and from time to time, in whole or in part, commencing October 14, 2024. The Representative’s Warrant expires on April 17, 2029.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Offering, the January Notes converted into 2,104,562 shares of common stock based upon a conversion price of $2.42 per share. Furthermore, the Company granted 63,479 Convertible Promissory Notes Offering Warrants to purchase common stock in connection with the January Notes at an exercise price of $2.42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Serve Robotics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dbbmckennon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2,715,719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23,697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774,349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618,262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676,969</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81,339</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48,422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3,376,427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782,439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1,215,968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512,659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512,659</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2,050,605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255,849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37,434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496,963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483,186</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2,363,807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2,214,348</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230,933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1,214,600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13,150,745</w:t>
            </w: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158,617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162,747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211,181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1,862,980</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20,996,217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8680" w:type="dxa"/>
            <w:vAlign w:val="bottom"/>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 preferred stock, $0.0001 par value; 4,008,079</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3,091,672 shares issued and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38"/>
        </w:trPr>
        <w:tc>
          <w:tcPr>
            <w:tcW w:w="868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Seed-1 preferred stock, $0.0001 par value; 3,037,227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2,440,411 shares issued and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38"/>
        </w:trPr>
        <w:tc>
          <w:tcPr>
            <w:tcW w:w="8680" w:type="dxa"/>
            <w:vAlign w:val="bottom"/>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Seed-2 preferred stock, $0.0001 par value; 2,599,497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2,088,696 shares issued and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38"/>
        </w:trPr>
        <w:tc>
          <w:tcPr>
            <w:tcW w:w="8680" w:type="dxa"/>
            <w:vAlign w:val="bottom"/>
            <w:shd w:val="clear" w:color="auto" w:fill="CCEEFF"/>
          </w:tcPr>
          <w:p>
            <w:pPr>
              <w:ind w:left="180"/>
              <w:spacing w:after="0" w:line="239" w:lineRule="exact"/>
              <w:rPr>
                <w:sz w:val="20"/>
                <w:szCs w:val="20"/>
                <w:color w:val="auto"/>
              </w:rPr>
            </w:pPr>
            <w:r>
              <w:rPr>
                <w:rFonts w:ascii="Times New Roman" w:cs="Times New Roman" w:eastAsia="Times New Roman" w:hAnsi="Times New Roman"/>
                <w:sz w:val="17"/>
                <w:szCs w:val="17"/>
                <w:color w:val="auto"/>
              </w:rPr>
              <w:t>Series Seed-3 preferred stock, $0.0001 par value; 445,347</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shares authorized, 0 and 357,836 shares issued and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December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31, 2023</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24,832,814 and 7,161,654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24,508,795 and 6,826,352 shares outstanding as of December 31, 2023 and 2022,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64,468,141</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31,232,737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(169,616)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(165,719)</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(68,334,381)</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(43,520,645)</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(12,452,146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2,804,549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8,544,071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1,148,426</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3,786,124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2,035,063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13,565,765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525,494</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(20,953,053)</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(636,330)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(265,744)</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(24,813,736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(21,855,127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6,896,769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42"/>
        </w:trPr>
        <w:tc>
          <w:tcPr>
            <w:tcW w:w="17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Seed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Seed-1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Seed-2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Series Seed-3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9"/>
        </w:trPr>
        <w:tc>
          <w:tcPr>
            <w:tcW w:w="1780" w:type="dxa"/>
            <w:vAlign w:val="bottom"/>
          </w:tcPr>
          <w:p>
            <w:pPr>
              <w:spacing w:after="0"/>
              <w:rPr>
                <w:sz w:val="14"/>
                <w:szCs w:val="14"/>
                <w:color w:val="auto"/>
              </w:rPr>
            </w:pP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6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4"/>
                <w:szCs w:val="14"/>
                <w:color w:val="auto"/>
              </w:rPr>
            </w:pPr>
          </w:p>
        </w:tc>
        <w:tc>
          <w:tcPr>
            <w:tcW w:w="130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178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7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00" w:type="dxa"/>
            <w:vAlign w:val="bottom"/>
          </w:tcPr>
          <w:p>
            <w:pPr>
              <w:spacing w:after="0"/>
              <w:rPr>
                <w:sz w:val="13"/>
                <w:szCs w:val="13"/>
                <w:color w:val="auto"/>
              </w:rPr>
            </w:pPr>
          </w:p>
        </w:tc>
        <w:tc>
          <w:tcPr>
            <w:tcW w:w="72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135"/>
        </w:trPr>
        <w:tc>
          <w:tcPr>
            <w:tcW w:w="17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2,834,033</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283</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2,440,411</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2,088,696</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357,836</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7,111,123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$29,984,430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(21,665,518)</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8,320,395</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Seed preferred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257,639</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999,973</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999,999</w:t>
            </w:r>
          </w:p>
        </w:tc>
        <w:tc>
          <w:tcPr>
            <w:tcW w:w="40" w:type="dxa"/>
            <w:vAlign w:val="bottom"/>
          </w:tcPr>
          <w:p>
            <w:pPr>
              <w:spacing w:after="0"/>
              <w:rPr>
                <w:sz w:val="13"/>
                <w:szCs w:val="13"/>
                <w:color w:val="auto"/>
              </w:rPr>
            </w:pP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(287,591)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 purchased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with recourse notes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2,820</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4,250</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(165,719)</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(161,469)</w:t>
            </w: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in connection</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 note payable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49,000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40" w:type="dxa"/>
            <w:vAlign w:val="bottom"/>
            <w:shd w:val="clear" w:color="auto" w:fill="CCEEFF"/>
          </w:tcPr>
          <w:p>
            <w:pPr>
              <w:spacing w:after="0"/>
              <w:rPr>
                <w:sz w:val="13"/>
                <w:szCs w:val="13"/>
                <w:color w:val="auto"/>
              </w:rPr>
            </w:pPr>
          </w:p>
        </w:tc>
      </w:tr>
      <w:tr>
        <w:trPr>
          <w:trHeight w:val="135"/>
        </w:trPr>
        <w:tc>
          <w:tcPr>
            <w:tcW w:w="1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160" w:type="dxa"/>
            <w:vAlign w:val="bottom"/>
          </w:tcPr>
          <w:p>
            <w:pPr>
              <w:spacing w:after="0"/>
              <w:rPr>
                <w:sz w:val="11"/>
                <w:szCs w:val="11"/>
                <w:color w:val="auto"/>
              </w:rPr>
            </w:pPr>
          </w:p>
        </w:tc>
        <w:tc>
          <w:tcPr>
            <w:tcW w:w="64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40" w:type="dxa"/>
            <w:vAlign w:val="bottom"/>
          </w:tcPr>
          <w:p>
            <w:pPr>
              <w:spacing w:after="0"/>
              <w:rPr>
                <w:sz w:val="11"/>
                <w:szCs w:val="11"/>
                <w:color w:val="auto"/>
              </w:rPr>
            </w:pPr>
          </w:p>
        </w:tc>
      </w:tr>
      <w:tr>
        <w:trPr>
          <w:trHeight w:val="168"/>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(21,855,127)</w:t>
            </w: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(21,855,127)</w:t>
            </w:r>
          </w:p>
        </w:tc>
      </w:tr>
      <w:tr>
        <w:trPr>
          <w:trHeight w:val="122"/>
        </w:trPr>
        <w:tc>
          <w:tcPr>
            <w:tcW w:w="178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3,091,672</w:t>
            </w:r>
          </w:p>
        </w:tc>
        <w:tc>
          <w:tcPr>
            <w:tcW w:w="1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309</w:t>
            </w:r>
          </w:p>
        </w:tc>
        <w:tc>
          <w:tcPr>
            <w:tcW w:w="100" w:type="dxa"/>
            <w:vAlign w:val="bottom"/>
            <w:tcBorders>
              <w:top w:val="single" w:sz="8" w:color="CCEEFF"/>
            </w:tcBorders>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2,440,411</w:t>
            </w: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top w:val="single" w:sz="8" w:color="CCEEFF"/>
            </w:tcBorders>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2,088,696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209</w:t>
            </w:r>
          </w:p>
        </w:tc>
        <w:tc>
          <w:tcPr>
            <w:tcW w:w="10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357,836</w:t>
            </w: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6,826,352</w:t>
            </w: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683</w:t>
            </w:r>
          </w:p>
        </w:tc>
        <w:tc>
          <w:tcPr>
            <w:tcW w:w="10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31,232,737</w:t>
            </w: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(165,719)</w:t>
            </w: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2"/>
              </w:rPr>
              <w:t>(43,520,645)</w:t>
            </w: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2"/>
              </w:rPr>
              <w:t>(12,452,146)</w:t>
            </w:r>
          </w:p>
        </w:tc>
        <w:tc>
          <w:tcPr>
            <w:tcW w:w="60" w:type="dxa"/>
            <w:vAlign w:val="bottom"/>
            <w:tcBorders>
              <w:top w:val="single" w:sz="8" w:color="CCEEFF"/>
            </w:tcBorders>
            <w:gridSpan w:val="2"/>
          </w:tcPr>
          <w:p>
            <w:pPr>
              <w:spacing w:after="0"/>
              <w:rPr>
                <w:sz w:val="10"/>
                <w:szCs w:val="10"/>
                <w:color w:val="auto"/>
              </w:rPr>
            </w:pP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pursuant to private placement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3,040,140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12,160,256</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12,160,560</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convertible note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and derivative into common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stock in connection with</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937,961</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3,751,781</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3,751,875</w:t>
            </w:r>
          </w:p>
        </w:tc>
        <w:tc>
          <w:tcPr>
            <w:tcW w:w="40" w:type="dxa"/>
            <w:vAlign w:val="bottom"/>
          </w:tcPr>
          <w:p>
            <w:pPr>
              <w:spacing w:after="0"/>
              <w:rPr>
                <w:sz w:val="13"/>
                <w:szCs w:val="13"/>
                <w:color w:val="auto"/>
              </w:rPr>
            </w:pP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Conversion of SAFEs into</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17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 connection</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 Merger</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4,372,601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17,489,967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17,490,404</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Conversion of preferred stock into</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 connection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with Merger</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(3,091,672)</w:t>
            </w:r>
          </w:p>
        </w:tc>
        <w:tc>
          <w:tcPr>
            <w:tcW w:w="22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9"/>
              </w:rPr>
              <w:t>(309)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(2,440,411)</w:t>
            </w:r>
          </w:p>
        </w:tc>
        <w:tc>
          <w:tcPr>
            <w:tcW w:w="26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(244)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(2,088,696)</w:t>
            </w:r>
          </w:p>
        </w:tc>
        <w:tc>
          <w:tcPr>
            <w:tcW w:w="26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85"/>
              </w:rPr>
              <w:t>(209)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(357,836)</w:t>
            </w:r>
          </w:p>
        </w:tc>
        <w:tc>
          <w:tcPr>
            <w:tcW w:w="30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2"/>
              </w:rPr>
              <w:t>(36)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7,978,616</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Patricia shares converted into</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178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upon the</w:t>
            </w: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1,500,000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pursuant to private placement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net of offering costs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143,531</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574,110</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574,124</w:t>
            </w:r>
          </w:p>
        </w:tc>
        <w:tc>
          <w:tcPr>
            <w:tcW w:w="40" w:type="dxa"/>
            <w:vAlign w:val="bottom"/>
          </w:tcPr>
          <w:p>
            <w:pPr>
              <w:spacing w:after="0"/>
              <w:rPr>
                <w:sz w:val="13"/>
                <w:szCs w:val="13"/>
                <w:color w:val="auto"/>
              </w:rPr>
            </w:pP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 purchased</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 recourse notes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11,194</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13,735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9,838</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(319,118)</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17"/>
        </w:trPr>
        <w:tc>
          <w:tcPr>
            <w:tcW w:w="17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with convertible</w:t>
            </w: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991,000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991,000</w:t>
            </w:r>
          </w:p>
        </w:tc>
        <w:tc>
          <w:tcPr>
            <w:tcW w:w="40" w:type="dxa"/>
            <w:vAlign w:val="bottom"/>
            <w:shd w:val="clear" w:color="auto" w:fill="CCEEFF"/>
          </w:tcPr>
          <w:p>
            <w:pPr>
              <w:spacing w:after="0"/>
              <w:rPr>
                <w:sz w:val="13"/>
                <w:szCs w:val="13"/>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Exercise of warrants upon the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17,518</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35"/>
        </w:trPr>
        <w:tc>
          <w:tcPr>
            <w:tcW w:w="17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40" w:type="dxa"/>
            <w:vAlign w:val="bottom"/>
            <w:shd w:val="clear" w:color="auto" w:fill="CCEEFF"/>
          </w:tcPr>
          <w:p>
            <w:pPr>
              <w:spacing w:after="0"/>
              <w:rPr>
                <w:sz w:val="11"/>
                <w:szCs w:val="11"/>
                <w:color w:val="auto"/>
              </w:rPr>
            </w:pPr>
          </w:p>
        </w:tc>
      </w:tr>
      <w:tr>
        <w:trPr>
          <w:trHeight w:val="117"/>
        </w:trPr>
        <w:tc>
          <w:tcPr>
            <w:tcW w:w="17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Offering costs consists in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connection with issuance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7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pursuant to</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(2,289,697)</w:t>
            </w:r>
          </w:p>
        </w:tc>
        <w:tc>
          <w:tcPr>
            <w:tcW w:w="1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(2,289,697)</w:t>
            </w:r>
          </w:p>
        </w:tc>
      </w:tr>
      <w:tr>
        <w:trPr>
          <w:trHeight w:val="16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(24,813,736)</w:t>
            </w: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(24,813,736)</w:t>
            </w:r>
          </w:p>
        </w:tc>
      </w:tr>
      <w:tr>
        <w:trPr>
          <w:trHeight w:val="129"/>
        </w:trPr>
        <w:tc>
          <w:tcPr>
            <w:tcW w:w="178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jc w:val="right"/>
              <w:ind w:right="117"/>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24,508,795</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2,450</w:t>
            </w: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64,468,141</w:t>
            </w: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(169,616</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8"/>
              </w:rPr>
              <w:t>(68,334,381</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(4,033,406</w:t>
            </w:r>
          </w:p>
        </w:tc>
        <w:tc>
          <w:tcPr>
            <w:tcW w:w="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(24,813,736)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(21,855,127)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1,863,924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388,139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544,375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195,056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265,744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1,811,798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recourse loan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(156,087)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(154,840)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(595,630)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11,163</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1,888,568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228,020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37,434</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liabilities, net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(49,656)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(15,970,878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(21,402,786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(3,644,950)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(416,012)</w:t>
            </w: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(4,060,962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simple agreement for future equity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2,666,953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12,885,001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2,798,410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lease liability financing</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4,455,852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liability financing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(1,713,518)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common stock, net of repurchases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pursuant to Merger and private placement, net of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10,444,987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Seed preferred stock</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999,999</w:t>
            </w: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13,266,829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(2,708,963)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(5,250,142)</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2,715,719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7,965,861</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6,756</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2,715,719</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507,193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622,730</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162,747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in connection with convertible note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issued as accrued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simple agreement for future equity into common stock</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17,490,404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 and derivative into common stock in connection with Merger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3,751,875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in connection with note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165,719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HISTORY, ORGANIZATION AND BUSINESS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2023, a wholly-owned subsidiary of Patricia Acquisition Corp., a Delaware corporation incorporated on November 9, 2020 (“Patricia”),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Patricia acquired the business of Serve and continued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have been replaced with the historical financial statements of Serve before the Merger in filings with the SEC since the Merger unless otherwise noted.</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MERGER ACCOUNTING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spacing w:after="0" w:line="17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spacing w:after="0" w:line="179" w:lineRule="exact"/>
        <w:rPr>
          <w:rFonts w:ascii="Times New Roman" w:cs="Times New Roman" w:eastAsia="Times New Roman" w:hAnsi="Times New Roman"/>
          <w:sz w:val="18"/>
          <w:szCs w:val="18"/>
          <w:b w:val="1"/>
          <w:bCs w:val="1"/>
          <w:color w:val="auto"/>
        </w:rPr>
      </w:pPr>
    </w:p>
    <w:p>
      <w:pPr>
        <w:ind w:left="340" w:right="6220" w:hanging="332"/>
        <w:spacing w:after="0" w:line="503" w:lineRule="auto"/>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GAAP. The Company’s fiscal year is December 31.</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one customer accounted for 71% and 50% of revenue, respectively. The loss of this customer may have a material effect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40" w:hanging="324"/>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29" w:name="page130"/>
    <w:bookmarkEnd w:id="12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prepaid expenses and accounts payable and accrued expenses approximate their fair values due to the short-term nature of these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and 8 for fair value disclosures of future equity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long-lived assets in accordance with the provisions of ASC 360-10-35, Property, Plant and Equipment, Impairment or Disposal of Long-lived Assets. 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30" w:name="page131"/>
    <w:bookmarkEnd w:id="13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directly for the issuance of the preferred stock are recorded as a reduction of gross proceeds received by the Company, resulting in a discount to the preferred stock. The discount is not amortized.</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31" w:name="page132"/>
    <w:bookmarkEnd w:id="13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revenue under ASC 606, Revenue from Contracts with Customers. The Company determines revenue recognition through the following steps:</w:t>
      </w:r>
    </w:p>
    <w:p>
      <w:pPr>
        <w:spacing w:after="0" w:line="162" w:lineRule="exact"/>
        <w:rPr>
          <w:sz w:val="20"/>
          <w:szCs w:val="20"/>
          <w:color w:val="auto"/>
        </w:rPr>
      </w:pPr>
    </w:p>
    <w:p>
      <w:pPr>
        <w:ind w:left="640" w:hanging="32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32" w:name="page133"/>
    <w:bookmarkEnd w:id="13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delivery revenue was $146,462, branding fees were $45,250 and other revenue was $15,833,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delivery revenue was $54,423 and branding fees were $53,575,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for field operations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product design, hardware and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under ASC 842 – Leases. The company does not apply the recognition requirements for leases with a term of twelve months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62" w:lineRule="exact"/>
        <w:rPr>
          <w:sz w:val="20"/>
          <w:szCs w:val="20"/>
          <w:color w:val="auto"/>
        </w:rPr>
      </w:pPr>
    </w:p>
    <w:p>
      <w:pPr>
        <w:ind w:left="640" w:hanging="324"/>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substantially all of the economic benefits of the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56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 (convertible to common stock)</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2,440,412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 (convertible to common stock)</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2,088,696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357,836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1,090,272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54,203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128,819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1,515,386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861,309</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7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37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vMerge w:val="continue"/>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2,929,677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9,022,947</w:t>
            </w:r>
          </w:p>
        </w:tc>
        <w:tc>
          <w:tcPr>
            <w:tcW w:w="0" w:type="dxa"/>
            <w:vAlign w:val="bottom"/>
          </w:tcPr>
          <w:p>
            <w:pPr>
              <w:spacing w:after="0"/>
              <w:rPr>
                <w:sz w:val="1"/>
                <w:szCs w:val="1"/>
                <w:color w:val="auto"/>
              </w:rPr>
            </w:pP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F-31</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72"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Derivative liability</w:t>
            </w: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13,150,745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13,150,745</w:t>
            </w:r>
          </w:p>
        </w:tc>
        <w:tc>
          <w:tcPr>
            <w:tcW w:w="8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13,150,745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13,150,745</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spacing w:after="0" w:line="17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our Level 3 financial instrument liabilities for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Simple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Future</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12,885,001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12,885,001</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265,744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265,744</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2,666,953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2,666,953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embedded derivative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1,672,706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1,821,706</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to common stock upon Merger</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(17,490,404)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(18,240,404)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property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Robot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2,092,293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3,561,288</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2,342,954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3,807,035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(2,294,532)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3,376,427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$1,863,924 and $388,139 for the years ended December 31, 2023 and 2022, respectively.</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fully impaired the carrying amount of the robot assets pursuant to its annual impairment assessment. The Company recorded an impairment expense of $1,468,995.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00" w:hanging="327"/>
        <w:spacing w:after="0"/>
        <w:tabs>
          <w:tab w:leader="none" w:pos="4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Silicon Valley Bank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note payable, net of unamortized discount of $19,067 and $35,400, was $1,230,933 and 2,214,600, all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37" w:name="page138"/>
    <w:bookmarkEnd w:id="137"/>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130"/>
        <w:spacing w:after="0" w:line="255" w:lineRule="auto"/>
        <w:rPr>
          <w:sz w:val="20"/>
          <w:szCs w:val="20"/>
          <w:color w:val="auto"/>
        </w:rPr>
      </w:pPr>
      <w:r>
        <w:rPr>
          <w:rFonts w:ascii="Times New Roman" w:cs="Times New Roman" w:eastAsia="Times New Roman" w:hAnsi="Times New Roman"/>
          <w:sz w:val="18"/>
          <w:szCs w:val="18"/>
          <w:color w:val="auto"/>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spacing w:after="0" w:line="189" w:lineRule="exact"/>
        <w:rPr>
          <w:sz w:val="20"/>
          <w:szCs w:val="20"/>
          <w:color w:val="auto"/>
        </w:rPr>
      </w:pPr>
    </w:p>
    <w:p>
      <w:pPr>
        <w:jc w:val="both"/>
        <w:ind w:left="130"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amortized $804,465 of the debt discount to interest expense. Upon the Merger, the outstanding balances were converted to 937,961 shares of common stock, and there were no remaining balances due.</w:t>
      </w:r>
    </w:p>
    <w:p>
      <w:pPr>
        <w:spacing w:after="0" w:line="162"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color w:val="auto"/>
        </w:rPr>
        <w:t>In connection with the April Notes, the Company recorded a charge of $991,000 based on contingent warrants issued upon conversion. See Note 10.</w:t>
      </w:r>
    </w:p>
    <w:p>
      <w:pPr>
        <w:spacing w:after="0" w:line="221"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b w:val="1"/>
          <w:bCs w:val="1"/>
          <w:i w:val="1"/>
          <w:iCs w:val="1"/>
          <w:color w:val="auto"/>
        </w:rPr>
        <w:t>Note Payable – Related Party</w:t>
      </w:r>
    </w:p>
    <w:p>
      <w:pPr>
        <w:spacing w:after="0" w:line="229" w:lineRule="exact"/>
        <w:rPr>
          <w:sz w:val="20"/>
          <w:szCs w:val="20"/>
          <w:color w:val="auto"/>
        </w:rPr>
      </w:pPr>
    </w:p>
    <w:p>
      <w:pPr>
        <w:jc w:val="both"/>
        <w:ind w:left="130"/>
        <w:spacing w:after="0" w:line="282" w:lineRule="auto"/>
        <w:rPr>
          <w:sz w:val="20"/>
          <w:szCs w:val="20"/>
          <w:color w:val="auto"/>
        </w:rPr>
      </w:pPr>
      <w:r>
        <w:rPr>
          <w:rFonts w:ascii="Times New Roman" w:cs="Times New Roman" w:eastAsia="Times New Roman" w:hAnsi="Times New Roman"/>
          <w:sz w:val="18"/>
          <w:szCs w:val="18"/>
          <w:color w:val="auto"/>
        </w:rPr>
        <w:t>In June and July 2023, the Company issued senior secured promissory notes with its Chief Executive Officer for which the Company received $449,000 in proceeds. The notes bore interest at 7.67% per annum.</w:t>
      </w:r>
    </w:p>
    <w:p>
      <w:pPr>
        <w:spacing w:after="0" w:line="162" w:lineRule="exact"/>
        <w:rPr>
          <w:sz w:val="20"/>
          <w:szCs w:val="20"/>
          <w:color w:val="auto"/>
        </w:rPr>
      </w:pPr>
    </w:p>
    <w:p>
      <w:pPr>
        <w:jc w:val="both"/>
        <w:ind w:left="130"/>
        <w:spacing w:after="0" w:line="282" w:lineRule="auto"/>
        <w:rPr>
          <w:sz w:val="20"/>
          <w:szCs w:val="20"/>
          <w:color w:val="auto"/>
        </w:rPr>
      </w:pPr>
      <w:r>
        <w:rPr>
          <w:rFonts w:ascii="Times New Roman" w:cs="Times New Roman" w:eastAsia="Times New Roman" w:hAnsi="Times New Roman"/>
          <w:sz w:val="18"/>
          <w:szCs w:val="18"/>
          <w:color w:val="auto"/>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spacing w:after="0" w:line="162"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w:t>
      </w:r>
    </w:p>
    <w:p>
      <w:pPr>
        <w:spacing w:after="0" w:line="27"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color w:val="auto"/>
        </w:rPr>
        <w:t>The note bore interest at 7.67% per annum. The note was outstanding as of December 31, 2023 and fully repaid on January 3, 2024.</w:t>
      </w:r>
    </w:p>
    <w:p>
      <w:pPr>
        <w:spacing w:after="0" w:line="203" w:lineRule="exact"/>
        <w:rPr>
          <w:sz w:val="20"/>
          <w:szCs w:val="20"/>
          <w:color w:val="auto"/>
        </w:rPr>
      </w:pPr>
    </w:p>
    <w:p>
      <w:pPr>
        <w:ind w:left="330" w:hanging="330"/>
        <w:spacing w:after="0"/>
        <w:tabs>
          <w:tab w:leader="none" w:pos="33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EQUITY OBLIGATIONS</w:t>
      </w:r>
    </w:p>
    <w:p>
      <w:pPr>
        <w:spacing w:after="0" w:line="229" w:lineRule="exact"/>
        <w:rPr>
          <w:sz w:val="20"/>
          <w:szCs w:val="20"/>
          <w:color w:val="auto"/>
        </w:rPr>
      </w:pPr>
    </w:p>
    <w:p>
      <w:pPr>
        <w:jc w:val="both"/>
        <w:ind w:left="130"/>
        <w:spacing w:after="0" w:line="261" w:lineRule="auto"/>
        <w:rPr>
          <w:sz w:val="20"/>
          <w:szCs w:val="20"/>
          <w:color w:val="auto"/>
        </w:rPr>
      </w:pPr>
      <w:r>
        <w:rPr>
          <w:rFonts w:ascii="Times New Roman" w:cs="Times New Roman" w:eastAsia="Times New Roman" w:hAnsi="Times New Roman"/>
          <w:sz w:val="18"/>
          <w:szCs w:val="18"/>
          <w:color w:val="auto"/>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spacing w:after="0" w:line="180" w:lineRule="exact"/>
        <w:rPr>
          <w:sz w:val="20"/>
          <w:szCs w:val="20"/>
          <w:color w:val="auto"/>
        </w:rPr>
      </w:pPr>
    </w:p>
    <w:p>
      <w:pPr>
        <w:jc w:val="both"/>
        <w:ind w:left="130"/>
        <w:spacing w:after="0" w:line="282" w:lineRule="auto"/>
        <w:rPr>
          <w:sz w:val="20"/>
          <w:szCs w:val="20"/>
          <w:color w:val="auto"/>
        </w:rPr>
      </w:pPr>
      <w:r>
        <w:rPr>
          <w:rFonts w:ascii="Times New Roman" w:cs="Times New Roman" w:eastAsia="Times New Roman" w:hAnsi="Times New Roman"/>
          <w:sz w:val="18"/>
          <w:szCs w:val="18"/>
          <w:color w:val="auto"/>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spacing w:after="0" w:line="378" w:lineRule="exact"/>
        <w:rPr>
          <w:sz w:val="20"/>
          <w:szCs w:val="20"/>
          <w:color w:val="auto"/>
        </w:rPr>
      </w:pPr>
    </w:p>
    <w:p>
      <w:pPr>
        <w:jc w:val="center"/>
        <w:ind w:right="19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30"/>
          </w:cols>
          <w:pgMar w:left="53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in July 2023, all remaining outstanding SAFEs were converted into 4,372,601 shares of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fair value of SAFEs was $0 and $13,150,745, respectively. See Note 6 for fair value disclosures.</w:t>
      </w:r>
    </w:p>
    <w:p>
      <w:pPr>
        <w:spacing w:after="0" w:line="221" w:lineRule="exact"/>
        <w:rPr>
          <w:sz w:val="20"/>
          <w:szCs w:val="20"/>
          <w:color w:val="auto"/>
        </w:rPr>
      </w:pPr>
    </w:p>
    <w:p>
      <w:pPr>
        <w:ind w:left="580" w:hanging="329"/>
        <w:spacing w:after="0"/>
        <w:tabs>
          <w:tab w:leader="none" w:pos="5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liquidation preferences were as follows: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w:t>
            </w: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3,699,950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5,674,962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w:t>
            </w:r>
          </w:p>
        </w:tc>
        <w:tc>
          <w:tcPr>
            <w:tcW w:w="90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7"/>
        </w:trPr>
        <w:tc>
          <w:tcPr>
            <w:tcW w:w="86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22,624,909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there were 10,000,000 shares of preferred stock, par value $0.0001 per share, authorized for issuance.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2022, the Company issued 257,639 shares of Series Seed Preferred Stock for gross proceeds of $999,999, or $3.88 per share.</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Upon consummation of the Merger in July 2023, all shares of Serve Preferred Stock were converted into 7,978,616 shares of common stock of the newly merged entity.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 Company has authorized 300,000,000 shares of common stock, par value $0.0001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Patricia’s predecessor shares converted into 1,500,000 shares of common stock of the newly merged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outstanding SAFEs were converted into 4,372,601 shares of common stock (see Notes 5 and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the outstanding convertible note was converted into 937,961 shares of common stock (see Note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shares of Serve Preferred Stock were converted into 7,978,616 shares of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2023, the Company completed a subsequent closing of the Private Placement and issued 143,531 shares of common stock for gross proceeds of $547,123, or $4.00 per share. The Company received $529,127 in net proceeds.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40" w:name="page141"/>
    <w:bookmarkEnd w:id="14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repurchased restricted stock awards of 319,118 and 287,591 shares of common stock, respectively, for nominal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an aggregate of 1,090,272 warrants to purchase common stock outstanding with a weighted-average exercise price of $2.67 per share and a weighted-average remaining term of 3.2 years.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41" w:name="page142"/>
    <w:bookmarkEnd w:id="141"/>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2"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Serve Robotics 2021 Equity Incentive Plan</w:t>
      </w:r>
    </w:p>
    <w:p>
      <w:pPr>
        <w:spacing w:after="0" w:line="22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spacing w:after="0" w:line="200" w:lineRule="exact"/>
        <w:rPr>
          <w:sz w:val="20"/>
          <w:szCs w:val="20"/>
          <w:color w:val="auto"/>
        </w:rPr>
      </w:pP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years ended December 31, 2023 and 2022 is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639,682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(368,446)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861,309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765,477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2,413,853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at December 31, 2023</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5,111,928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weighted average duration to expiration of outstanding options was 8.50 years.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options were valued using the Black-Scholes pricing model using the range of inputs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 - 3.91%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5.52-6.27%</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2023 and 2023 were $0.41 and $0.27,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for stock options and restricted common stock (Note 9) was classified in the statements of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7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70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49,139</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14,625</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416,838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152,739</w:t>
            </w: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19,396</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r>
      <w:tr>
        <w:trPr>
          <w:trHeight w:val="27"/>
        </w:trPr>
        <w:tc>
          <w:tcPr>
            <w:tcW w:w="37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70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544,375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195,056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F-40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temporary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325" w:hanging="325"/>
        <w:spacing w:after="0"/>
        <w:tabs>
          <w:tab w:leader="none" w:pos="32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11,896,550   $   8,940,441</w:t>
      </w:r>
    </w:p>
    <w:p>
      <w:pPr>
        <w:spacing w:after="0" w:line="27" w:lineRule="exact"/>
        <w:rPr>
          <w:sz w:val="20"/>
          <w:szCs w:val="20"/>
          <w:color w:val="auto"/>
        </w:rPr>
      </w:pPr>
    </w:p>
    <w:p>
      <w:pPr>
        <w:ind w:left="405"/>
        <w:spacing w:after="0"/>
        <w:tabs>
          <w:tab w:leader="none" w:pos="2385" w:val="left"/>
        </w:tabs>
        <w:rPr>
          <w:sz w:val="20"/>
          <w:szCs w:val="20"/>
          <w:color w:val="auto"/>
        </w:rPr>
      </w:pPr>
      <w:r>
        <w:rPr>
          <w:rFonts w:ascii="Times New Roman" w:cs="Times New Roman" w:eastAsia="Times New Roman" w:hAnsi="Times New Roman"/>
          <w:sz w:val="18"/>
          <w:szCs w:val="18"/>
          <w:color w:val="auto"/>
        </w:rPr>
        <w:t>2,516,557</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5" w:hanging="1161"/>
        <w:spacing w:after="0"/>
        <w:tabs>
          <w:tab w:leader="none" w:pos="19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85,998</w:t>
      </w:r>
    </w:p>
    <w:p>
      <w:pPr>
        <w:spacing w:after="0" w:line="9" w:lineRule="exact"/>
        <w:rPr>
          <w:rFonts w:ascii="Times New Roman" w:cs="Times New Roman" w:eastAsia="Times New Roman" w:hAnsi="Times New Roman"/>
          <w:sz w:val="18"/>
          <w:szCs w:val="18"/>
          <w:color w:val="auto"/>
        </w:rPr>
      </w:pPr>
    </w:p>
    <w:p>
      <w:pPr>
        <w:ind w:left="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(14,412,164)(9,026,439)</w:t>
      </w:r>
    </w:p>
    <w:p>
      <w:pPr>
        <w:spacing w:after="0" w:line="58" w:lineRule="exact"/>
        <w:rPr>
          <w:sz w:val="20"/>
          <w:szCs w:val="20"/>
          <w:color w:val="auto"/>
        </w:rPr>
      </w:pPr>
    </w:p>
    <w:p>
      <w:pPr>
        <w:ind w:left="5"/>
        <w:spacing w:after="0"/>
        <w:tabs>
          <w:tab w:leader="none" w:pos="1045" w:val="left"/>
          <w:tab w:leader="none" w:pos="1325" w:val="left"/>
          <w:tab w:leader="none" w:pos="238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p>
      <w:pPr>
        <w:spacing w:after="0" w:line="9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 – Right of Use Asset and Liability</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three leases for office and warehouse space with monthly ranging from $9,862 to $18,358, and terms expiring prior to August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Financial Statement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9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9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Operations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665,961</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98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217,890</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costs</w:t>
            </w:r>
          </w:p>
        </w:tc>
        <w:tc>
          <w:tcPr>
            <w:tcW w:w="2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933,661</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621,388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5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580" w:type="dxa"/>
            <w:vAlign w:val="bottom"/>
            <w:gridSpan w:val="3"/>
            <w:vMerge w:val="continue"/>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550,470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980" w:type="dxa"/>
            <w:vAlign w:val="bottom"/>
          </w:tcPr>
          <w:p>
            <w:pPr>
              <w:spacing w:after="0"/>
              <w:rPr>
                <w:sz w:val="20"/>
                <w:szCs w:val="20"/>
                <w:color w:val="auto"/>
              </w:rPr>
            </w:pPr>
          </w:p>
        </w:tc>
        <w:tc>
          <w:tcPr>
            <w:tcW w:w="3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1,535,230</w:t>
            </w:r>
          </w:p>
        </w:tc>
        <w:tc>
          <w:tcPr>
            <w:tcW w:w="0" w:type="dxa"/>
            <w:vAlign w:val="bottom"/>
          </w:tcPr>
          <w:p>
            <w:pPr>
              <w:spacing w:after="0"/>
              <w:rPr>
                <w:sz w:val="1"/>
                <w:szCs w:val="1"/>
                <w:color w:val="auto"/>
              </w:rPr>
            </w:pPr>
          </w:p>
        </w:tc>
      </w:tr>
      <w:tr>
        <w:trPr>
          <w:trHeight w:val="414"/>
        </w:trPr>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414"/>
        </w:trPr>
        <w:tc>
          <w:tcPr>
            <w:tcW w:w="8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Future minimum payments under operating leases as of December 31, 2023, are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527,983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214,775</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(34,614)</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Lease – Failed Sales-Leaseback</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License and Services Agreement</w:t>
      </w:r>
    </w:p>
    <w:p>
      <w:pPr>
        <w:spacing w:after="0" w:line="229"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9" w:lineRule="exact"/>
        <w:rPr>
          <w:sz w:val="20"/>
          <w:szCs w:val="20"/>
          <w:color w:val="auto"/>
        </w:rPr>
      </w:pPr>
    </w:p>
    <w:p>
      <w:pPr>
        <w:jc w:val="both"/>
        <w:ind w:left="40"/>
        <w:spacing w:after="0" w:line="256" w:lineRule="auto"/>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87"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we issued the Magna Warrant to purchase up to 2,145,000 shares of our common stock (the “Magna Warrant Shares”), subject to adjustments as provided therein, at an exercise price of $0.01 per share.</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w:t>
      </w:r>
    </w:p>
    <w:p>
      <w:pPr>
        <w:spacing w:after="0" w:line="27" w:lineRule="exact"/>
        <w:rPr>
          <w:sz w:val="20"/>
          <w:szCs w:val="20"/>
          <w:color w:val="auto"/>
        </w:rPr>
      </w:pPr>
    </w:p>
    <w:p>
      <w:pPr>
        <w:jc w:val="both"/>
        <w:ind w:left="40" w:hanging="8"/>
        <w:spacing w:after="0" w:line="253" w:lineRule="auto"/>
        <w:tabs>
          <w:tab w:leader="none" w:pos="3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6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us in connection with the offering of the securities being registered.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12,405.78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77,405.</w:t>
            </w:r>
            <w:r>
              <w:rPr>
                <w:rFonts w:ascii="Times New Roman" w:cs="Times New Roman" w:eastAsia="Times New Roman" w:hAnsi="Times New Roman"/>
                <w:sz w:val="18"/>
                <w:szCs w:val="18"/>
                <w:u w:val="single" w:color="auto"/>
                <w:color w:val="auto"/>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permitted by the DGCL, the Registrant’s amended and amended and restated certificate of incorporation contains provisions that eliminate the personal liability of its directors for monetary damages for any breach of fiduciary duties as a director, except liability for the following:</w:t>
      </w:r>
    </w:p>
    <w:p>
      <w:pPr>
        <w:spacing w:after="0" w:line="162"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(regarding unlawful dividends and stock purchases);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to provide these directors and executive officers additional contractual assurances regarding the scope of the indemnification set forth in our amended and amended and restated certificate of incorporation and amended and restated bylaws, and to provide additional procedural protections. There is no pending litigation or proceeding involving any of our directors or executive officers for which indemnification is sought. The indemnification provisions in our amended and restated certificate of incorporation, amended and restated bylaws, and the indemnification agreements entered into between us and each of our directors and executive officers may be sufficiently broad to permit indemnification of our directors and executive officers for liabilities arising under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maintain standard insurance policies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 Certain of our directors are also indemnified by their employers with regard to their service on our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January 2021, we and Serve have issued the following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2024 PIPE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2024, we issued to Armistice (i) the Pre-Funded Warrants to purchase up to 2,500,000 shares of our common stock, subject to adjustments as provided therein, at an initial exercise price of $0.0001 per share, and (ii) the Investor Warrants to purchase up to 2,500,000 shares of our common stock, subject to adjustments as provided therein, at an initial exercise price of $6.00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Underwriter Warrant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Public Offering, on April 17, 2024, we issued to Aegis the Underwriter Warrant to purchase up to 500,000 shares of our common stock, subject to adjustments as provided therein, at an initial exercise price of $5.00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Magna Warrant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the Company issued the Magna Warrant to purchase up to 2,145,000 shares of our common stock, subject to adjustments as provided therein, at an exercise price per share of $0.01.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Magna Warrant is exercisable in two equal tranches: (i) the first tranche became exercisable on May 15, 2024, subject to certain conditions; and (ii) the second tranche will become exercisable upon the achievement by Magna of a certain manufacturing milestone as set forth in a production and purchase agreement to be entered into with respect to the contract manufacturing of the Company’s autonomous delivery robots by Magna or one of its affiliates. Notwithstanding the foregoing, the Magna Warrant will become exercisable upon any Change of Control (as defined in the Magna Warrant).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of the Magna Warrant was exempt from registration under Section 4(a)(2) of the Securities Act and Rule 506(b) of Regulation D promulgated by the SEC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Promissory Notes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we issued an aggregate of $5.0 million in convertible promissory notes to accredited investors which converted to shares of common stock upon the closing of the public offering and uplisting. These transactions were exempt from registration under Section 4(a)(2) of the Securities Act as not involving any public offering or Regulation D promulgated thereunder.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Convertible Promissory Notes Offering, on April 17, 2024, we issued the Network 1 Warrants to purchase up to 63,479 shares of our common stock, subject to adjustments as provided therein, at an initial exercise price of $2.42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Subordinated Promissory Note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2023, Serve issued the December 2023 Kashani Note to Ali Kashani, a holder of greater than 5% of the Company’s capital stock who serves as Chief Executive Officer and is a member of our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December 2023 Kashani Note was exempt from registration under Section 4(a)(2) of the Securities Act and Rule 506(b) of Regulation D promulgated by the SEC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Bridge Financing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2023, in connection with the Bridge Financing, Serve offered and sold to accredited investors $3,001,500 principal amount of the Bridge Notes in a private placement. The Bridge Notes bore interest at 10% per annum and were payable on October 21, 2023, subject to earlier conversion as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2023, upon the closing of the Merger and the initial closing of the Private Placement, the outstanding principal amount of the Bridge Notes was automatically converted into 937,961 shares of our common stock at a conversion price of $3.20 per share, and investors in the Bridge Notes received Bridge Warrants to purchase a number of shares of common stock equal to 50% of the number of shares of common stock into which the Bridge Notes were converted, at an exercise price of $3.20 per share for a term of three years. If at any time after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Bridge Notes, Serve agreed to cause the Company to issue to the Bridge Brokers, upon closing of the Merger and the Private Placement, Bridge Broker Warrants to purchase a number of shares of Serve’s common stock equal to 8% of the number of shares of common stock into which the Bridge Notes, other than those purchased by Insider Investors, would convert at the closing of the Merger and Private Placement, with an exercise price per share of $3.20 and a term of three years. The Bridge Brokers were entitled to be issued Bridge Broker Warrants to purchase an aggregate of 74,662 shares of our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of the Bridge Notes, and the grant of the Bridge Warrants and Bridge Broker Warrants were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2023, in connection with the Private Placement, we issued an aggregate of 2,782,378 shares of common stock at a price of $4.00 per share for aggregate gross consideration of approximately $11.13 million to 71 accredited investors. These transactions were exempt from registration under Section 4(a)(2) of the Securities Act as not involving any public offering or Regulation D promulgated thereunder.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2023, in connection with the Private Placement, we issued an aggregate of 257,762 shares of common stock at a price of $4.00 per share for aggregate gross consideration of approximately $1.03 million to 5 accredited investors. These transactions were exempt from registration under Section 4(a)(2) of the Securities Act as not involving any public offering or Regulation D promulgated thereunder.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26, 2023, in connection with the Private Placement, we issued an aggregate of 143,531 shares of common stock at a price of $4.00 per share for aggregate gross consideration of approximately $0.57 million to 8 accredited investors. These transactions were exempt from registration under Section 4(a)(2) of the Securities Act as not involving any public offering or Regulation D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Placement Agent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and subject to the closing of the Private Placement, we agreed to pay each of the Placement Agents, Aegis and Network 1, each a U.S. registered broker-dealer, a cash placement fee of 8% of the gross proceeds raised from investors in the Private Placement (or 4% of gross proceeds raised from Insider Investors) and to issue to them Placement Agent Warrants consisting of (a)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and</w:t>
      </w:r>
    </w:p>
    <w:p>
      <w:pPr>
        <w:spacing w:after="0" w:line="3" w:lineRule="exact"/>
        <w:rPr>
          <w:sz w:val="20"/>
          <w:szCs w:val="20"/>
          <w:color w:val="auto"/>
        </w:rPr>
      </w:pPr>
    </w:p>
    <w:p>
      <w:pPr>
        <w:ind w:firstLine="8"/>
        <w:spacing w:after="0" w:line="260" w:lineRule="auto"/>
        <w:tabs>
          <w:tab w:leader="none" w:pos="2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Agent B Warrants to purchase 125,000 shares of common stock with the same term as the Placement Agent A Warrants and an exercise price of $0.001 per share.</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grant of the Placement Agent Warrants was exempt from registration under Section 4(a)(2) of the Securities Act and Rule 506(b) of Regulation D promulgated by the SEC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Issued in Connection with the Merger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31, 2023, pursuant to the terms of the Merger Agreement, 3,091,672 shares of Serve’s Series Seed preferred stock, 2,440,411 shares of Serve’s Series Seed-1 preferred stock, 2,088,696 shares of Serve’s Series Seed-2 preferred stock, and 357,836 shares of Serve’s Series Seed-3 stock were converted into an aggregate of 7,978,616 shares of our common stock. These transactions were exempt from registration under Section 4(a)(2) of the Securities Act as not involving any public offering or Regulation D promulgated thereunder. None of the securities were sold through an underwriter and, accordingly, there were no underwriting discounts or commissions involved.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auto"/>
        </w:rPr>
        <w:t>Sales of Unregistered Securities of Serve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list sets forth information as to all securities Serve sold from January 1, 2021, through immediately prior to the consummation of the Merger, which were not registered under the Securities Act. The following description is historical and has not been adjusted to give effect to the Merger. The proceeds from these sales were used by the Company for working capital.</w:t>
      </w:r>
    </w:p>
    <w:p>
      <w:pPr>
        <w:spacing w:after="0" w:line="176" w:lineRule="exact"/>
        <w:rPr>
          <w:sz w:val="20"/>
          <w:szCs w:val="20"/>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April 27, 2021 and June 25, 2021, Serve issued a total of 3,535,400 shares of Serve’s common stock at a price per share of $0.0012 to stockholders of Serve for gross proceeds of $4,400. Serve relied upon the exemption from registration provided by Regulation 4(2) under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April 12, 2021 and September 19, 2021, Serve issued a total of 3,660,605 shares of common stock at a price per share of $0.0013 to service providers of Serve pursuant to the 2021 Plan, of which 2,800,448 are outstanding for gross proceeds of $4,758.79. Serve relied upon the exemption from registration provided by Rule 701 of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August 23, 2022 and September 7, 2022, Serve issued a total of 338,122 shares of common stock at a price per share of $0.49 to service providers of Serve pursuant to the 2021 Plan. Serve relied upon the exemption from registration provided by Rule 701 of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December 23, 2021 and October 8, 2022, Serve issued options to purchase a total of 1,229,755 shares of common stock at an exercise price of $0.49 per share to service providers of Serve pursuant to the 2021 Plan, of which 829,749 are outstanding. Serve relied upon the exemption from registration provided by Rule 701 of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2021, Serve issued a SAFEs for an aggregate purchase amount of $1.00 million (the “February 2021 Safe”) to an investor of Serve. The February 2021 Safe converted into 2,440,411 shares of Serve’s Series Seed-1 Preferred Stock at a price per share of $1.5161 on October 4, 2021. Serve relied upon the exemption from registration provided by Regulation 4(2) under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January 29, 2021 and March 16, 2021, Serve issued SAFEs for an aggregate purchase amount of $5.68 million (the “2021 Safes”) to investors of Serve. The 2021 Safes converted into 2,088,696 shares of Serve’s Series Seed-2 Preferred Stock at a price per share of $2.7170 on October 4, 2021. Serve relied upon the exemption from registration provided by Regulation 4(2) under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13, 2021, Serve issued a SAFEs for an aggregate purchase amount of $1.25 million (the “Bridge Safe”) to investors of Serve. The Bridge Safe converted into 357,836 shares of Serve’s Series Seed-3 Preferred Stock at a price per share of $3.4932 on October 4, 2021. Serve relied upon the exemption from registration provided by Regulation 4(2) under the Securities Act.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2021, Serve entered into a Series Seed Preferred Stock Purchase Agreement, pursuant to which the Company issued 3,091,672 shares of Serve’s Series Seed Preferred Stock at a price per share of $3.8814, 2,440,411 shares of Serve’s Series Seed-1 Preferred Stock, 2,088,696 shares of Serve’s Series Seed-2 Preferred Stock, and 357,836 shares of Serve’s Series Seed-3 Preferred Stock to stockholders of Serve. Serve raised a total of $12.00 million from the sale of Serve’s Series Seed Preferred Stock. Serve relied upon the exemption from registration provided by Regulation 4(2) under the Securities Act.</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4, 2021, Serve issued a warrant to purchase 128,819 shares of Serve’s Series Seed Preferred Stock at an exercise price of $3.89 per share. Serve relied upon the exemption from registration provided by Regulation 4(2) under the Securities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2021, Serve issued a warrant to purchase 13,911 shares of Serve’s common stock at an exercise price of $3.89 per share. Serve relied upon the exemption from registration provided by Regulation 4(2) under the Securities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February 4, 2022 and March 9, 2022, Serve issued SAFEs for an aggregate purchase amount of $10.59 million to investors of Serve. Serve relied upon the exemption from registration provided by Regulation 4(2) under the Securities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 2022, Serve issued a warrant to purchase 40,292 shares of Serve’s common stock at an exercise price of $0.49 per share. Serve relied upon the exemption from registration provided by Regulation 4(2) under the Securities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ind w:left="980" w:right="2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December 1, 2022 and January 18, 2023, Serve issued SAFEs for an aggregate purchase amount of $4.97 million to investors of Serve. Serve relied upon the exemption from registration provided by Regulation 4(2) under the Securities 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15, 2023, Serve issued options to purchase a total of 255,240 shares of common stock at an exercise price of $0.50 per share to service providers of Serve pursuant to the 2021 Plan. Serve relied upon the exemption from registration provided by Rule 701 of the Securities Act.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7, 2023, Serve issued options to purchase a total of 510,237 shares of common stock at an exercise price of $0.86 per share to service providers of Serve pursuant to the 2021 Plan. Serve relied upon the exemption from registration provided by Rule 701 of the Securities 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2023, Serve issued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 The issuance of the June 2023 Kashani Note was exempt from registration under Section 4(a)(2) of the Securities Act and Rule 506(b) of Regulation D promulgated by the SEC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in the schedules is either not applicable or is included in our financial statements or notes to those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ind w:left="964" w:hanging="316"/>
        <w:spacing w:after="0" w:line="282" w:lineRule="auto"/>
        <w:tabs>
          <w:tab w:leader="none" w:pos="9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(ii) and (iii)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324" w:hanging="324"/>
        <w:spacing w:after="0" w:line="266" w:lineRule="auto"/>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w:t>
      </w:r>
      <w:r>
        <w:rPr>
          <w:rFonts w:ascii="Times New Roman" w:cs="Times New Roman" w:eastAsia="Times New Roman" w:hAnsi="Times New Roman"/>
          <w:sz w:val="18"/>
          <w:szCs w:val="18"/>
          <w:i w:val="1"/>
          <w:iCs w:val="1"/>
          <w:color w:val="auto"/>
        </w:rPr>
        <w:t>,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2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200" w:type="dxa"/>
            <w:vAlign w:val="bottom"/>
            <w:tcBorders>
              <w:top w:val="single" w:sz="8" w:color="auto"/>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Underwriting Agreement, dated as of April 17, 2024, by and between the Company and Aegis Capital Corp.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Exhibit 1.1 to the Company’s Current Report on Form 8-K/A filed with the SEC on April 18,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Agreement and Plan of Merger and Reorganization among the Company, Serve Acquisition Corp. and Serve Robotics Inc.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reference to Exhibit 2.1 to the Company’s Current Report on Form 8-K filed with the SEC on August 4, 2023)</w:t>
              </w:r>
            </w:hyperlink>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Certificate of Merger relating to the merger of Serve Acquisition Corp. with and into Serve Robotics Inc., filed with the Secretary of State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tcBorders>
              <w:right w:val="single" w:sz="8" w:color="CCEE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the State of Delaware on July 31, 2023 (incorporated by reference to Exhibit 3.1 to the Company’s Current Report on Form 8-K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Amended and Restated Certificate of Incorporation, filed with the Secretary of State of the State of Delaware on July 31, 2023 (incorporated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by reference to Exhibit 3.2 to the Company’s Current Report on Form 8-K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Amended and Restated Bylaws (incorporated by reference to Exhibit 3.3 to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Bridge Warrant (incorporated by reference to Exhibit 4.1 to the Company’s Current Report on Form 8-K filed with the SEC on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Bridge Broker Warrant (incorporated by reference to Exhibit 4.2 to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Placement Agent A Warrant (incorporated by reference to Exhibit 4.3 to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Placement Agent B Warrant (incorporated by reference to Exhibit 4.4 to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Secured Subordinated Promissory Note (incorporated by reference to Exhibit 4.1 to the Company’s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filed with the SEC on January 3,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Convertible Promissory Note (incorporated by reference to Exhibit 4.2 to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SEC on January 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Common Stock Warrant, dated February 7, 2024, issued by Serve Robotics Inc. to Magna New Mobility USA, Inc.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reference to Exhibit 10.3 to the Company’s Current Report on Form 8-K filed with the SEC on February 7,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Specimen Stock Certificate (incorporated by reference to Exhibit 4.8 to the Company’s Registration Statement on Form S-1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SEC on March 8,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Underwriter’s Warrant (incorporated by reference to Exhibit 4.1 to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on April 22,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Network 1 Warrant (incorporated by reference to Exhibit 4.2 to the Company’s Current Report on Form 8-K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April 22,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Form of Pre-Funded Warrant (incorporated by reference to Exhibit 10.4 to the Company’s Current Report on Form 8-K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July 23,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Investor Warrant (incorporated by reference to Exhibit 10.2 to the Company’s Current Report on Form 8-K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July 23,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102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Opinion of Orrick, Herrington &amp; Sutcliffe LLP.</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Offer Letter, dated as of March 1, 2021, by and between Touraj Parang and the Company (incorporated by reference to Exhibit 10.1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Offer Letter, dated as of October 7, 2021, by and between Euan Abraham and the Company (incorporated by reference to Exhibit 10.2 to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Company’s Current Report on Form 8-K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Engagement Letter, dated as of May 18, 2023, by and between AKW Financial, LLC dba Vision Accounting &amp; Tax (VAT) and the Company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(incorporated by reference to Exhibit 10.3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Parang Termination Payment Letter, dated as of June 23, 2021, by and between Touraj Parang and the Company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18"/>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Exhibit 10.4 to the Company’s Current Report on Form 8-K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10220" w:type="dxa"/>
            <w:vAlign w:val="bottom"/>
            <w:tcBorders>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Kashani Termination Payment Letter, dated as of September 27, 2021, by and between Ali Kashani and the Company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20" w:type="dxa"/>
            <w:vAlign w:val="bottom"/>
            <w:tcBorders>
              <w:top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reference to Exhibit 10.5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10220" w:type="dxa"/>
            <w:vAlign w:val="bottom"/>
            <w:gridSpan w:val="17"/>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Lease Agreement, dated as of February 25, 2021, by and between Bauen Fund 2018-730, LLC and the Company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to Exhibit 10.6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right w:val="single" w:sz="8" w:color="CCEEFF"/>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Contribution Agreement, dated as of February 24, 2021, by and between Postmates, LLC and the Company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Exhibit 10.7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tcBorders>
              <w:bottom w:val="single" w:sz="8" w:color="0000EE"/>
              <w:right w:val="single" w:sz="8" w:color="CCEEFF"/>
            </w:tcBorders>
            <w:gridSpan w:val="14"/>
            <w:shd w:val="clear" w:color="auto" w:fill="CCEEFF"/>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Amended and Restated Side Letter to the Contribution Agreement, dated as of January 12, 2023, by and between Postmates, LLC and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Company (incorporated by reference to Exhibit 10.8 to Amendment No. 2 to the Company’s Registration Statement on Form S-1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the SEC on November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Master Framework Agreement, dated as of September 3, 2021 by and between Uber Technologies, Inc. and the Company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reference to Exhibit 10.9 to Amendment No. 2 to the Company’s Registration Statement on Form S-1 filed with the SEC on November 28,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5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2023)</w:t>
              </w:r>
              <w:r>
                <w:rPr>
                  <w:rFonts w:ascii="Times New Roman" w:cs="Times New Roman" w:eastAsia="Times New Roman" w:hAnsi="Times New Roman"/>
                  <w:sz w:val="18"/>
                  <w:szCs w:val="18"/>
                  <w:color w:val="000000"/>
                </w:rPr>
                <w:t>.</w:t>
              </w:r>
            </w:hyperlink>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Amendment No. 1 to the Master Framework Agreement, dated as of May 26, 2022 by and between Uber Technologies, Inc.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Company (incorporated by reference to Exhibit 10.10 to Amendment No. 2 to the Company’s Registration Statement on Form S-1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the SEC on November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Amendment No. 2 to the Master Framework Agreement, dated as of January 12, 2023 by and between Uber Technologies, Inc. and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Company (incorporated by reference to Exhibit 10.11 to Amendment No. 2 to the Company’s Registration Statement on Form S-1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the SEC on November 28,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Amendment No. 3 to the Master Framework Agreement, dated as of September 6, 2023 by and between Uber Technologies, Inc. and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Company (incorporated by reference to Exhibit 10.12 to Amendment No. 2 to the Company’s Registration Statement on Form S-1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the SEC on November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Amendment No. 4 to the Master Framework Agreement; Amendment No. 2 to Project Plan 2, dated as of June 5, 2024 by and between Uber</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Technologies, Inc. and Serve (incorporated by reference to Exhibit 10.13 to the Company’s Registration Statement on Form S-1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SEC on June 7,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Project Plan #1, dated as of February 3, 2022, by and between Uber Technologies, Inc. and the Company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Exhibit 10.13 to Amendment No. 2 to the Company’s Registration Statement on Form S-1 filed with the SEC on November 28,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Project Plan #2, dated as of May 26, 2022, by and between Uber Technologies, Inc. and the Company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0000EE"/>
                </w:rPr>
                <w:t xml:space="preserve"> to Amendment No. 2 to the Company’s Registration Statement on Form S-1 filed with the SEC on November 28,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Amendment No. 1 to Project Plan 2, dated April 25, 2024, by and between Uber Technologies, Inc. and the Company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reference to Exhibit 10.5 to the Company’s Quarterly Report on Form 10-Q filed with the SEC on May 15,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Equipment Lease Agreement, dated as of June 6, 2022, by and between Farnam Street Financial, Inc. and the Company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reference to Exhibit 10.14 to the Company’s Current Report on Form 8-K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22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Lease Schedule No. 001R, dated December 3, 2022, to Equipment Lease Agreement dated as of June 6, 2022, by and between Farnam Street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860" w:type="dxa"/>
            <w:vAlign w:val="bottom"/>
            <w:tcBorders>
              <w:right w:val="single" w:sz="8" w:color="CCEEFF"/>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Financial, Inc. and the Company (incorporated by reference to Exhibit 10.16 to the Company’s Annual Report on Form 10-K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SEC on February 29,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Lease Schedule No. 002, dated December 28, 2023, to Equipment Lease Agreement dated as of June 6, 2022, by and between Farnam Street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Financial, Inc. and the Company (incorporated by reference to Exhibit 10.17 to the Company’s Annual Report on Form 10-K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SEC on February 29,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Strategic Customer Agreement, dated as of December 31, 2021, by and between Ouster, Inc. and the Company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Exhibit 10.15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Loan and Security Agreement, dated as of March 1, 2022, by and between Silicon Valley Bank and the Company (incorporated by reference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to Exhibit 10.16 to the Company’s Current Report on Form 8-K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First Amendment to the Loan and Security Agreement, dated as of October 11, 2022, by and between Silicon Valley Bank and the Company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(incorporated by reference to Exhibit 10.17 to the Company’s Current Report on Form 8-K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Second Amendment to the Loan and Security Agreement, dated as of April 21, 2023, by and between Silicon Valley Bank, a division of First-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Citizens Bank &amp; Trust Company and the Company (incorporated by reference to Exhibit 10.18 to the Company’s Current Report on Form 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K filed with the SEC on August 4, 2023)</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Third Amendment to the Loan and Security Agreement, dated as of July 28, 2023, by and between Silicon Valley Bank, a division of First-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Citizens Bank &amp; Trust Company and the Company (incorporated by reference to Exhibit 10.19 to the Company’s Current Report on Form 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022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K filed with the SEC on August 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22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Fourth Amendment to the Loan and Security Agreement, dated as of January 3, 2024, by and between Silicon Valley Bank, a division of</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First-Citizens Bank &amp; Trust Company, the Company and Serve Operating Co. (incorporated by reference to Exhibit 10.23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Annual Report on Form 10-K filed with the SEC on February 29,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22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Form of Lock-Up Agreement (incorporated by reference to Exhibit 10.20 to the Current Report on Form 8-K filed with the SEC on August 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2023)</w:t>
              </w:r>
              <w:r>
                <w:rPr>
                  <w:rFonts w:ascii="Times New Roman" w:cs="Times New Roman" w:eastAsia="Times New Roman" w:hAnsi="Times New Roman"/>
                  <w:sz w:val="18"/>
                  <w:szCs w:val="18"/>
                  <w:color w:val="000000"/>
                </w:rPr>
                <w:t>.</w:t>
              </w:r>
            </w:hyperlink>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10.27</w:t>
            </w:r>
          </w:p>
        </w:tc>
        <w:tc>
          <w:tcPr>
            <w:tcW w:w="10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Form of Pre-Merger Indemnification Agreement (incorporated by reference to Exhibit 10.21 to the Company’s Current Report on Form 8-K</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filed with the SEC on August 4, 2023)</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Subscription Agreement, dated July 31, 2023, by and between the Company and the parties thereto (incorporated by reference to Exhibit</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0000EE"/>
                </w:rPr>
                <w:t xml:space="preserve"> to the Company’s Current Report on Form 8-K filed with the SEC on August 4, 2023)</w:t>
              </w:r>
              <w:r>
                <w:rPr>
                  <w:rFonts w:ascii="Times New Roman" w:cs="Times New Roman" w:eastAsia="Times New Roman" w:hAnsi="Times New Roman"/>
                  <w:sz w:val="18"/>
                  <w:szCs w:val="18"/>
                  <w:color w:val="000000"/>
                </w:rPr>
                <w:t>.</w:t>
              </w:r>
            </w:hyperlink>
          </w:p>
        </w:tc>
      </w:tr>
      <w:tr>
        <w:trPr>
          <w:trHeight w:val="21"/>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of Registration Rights Agreement, by and between the Company and the parties thereto (incorporated by reference to Exhibit 10.23 to</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the Company’s Current Report on Form 8-K filed with the SEC on August 4, 2023)</w:t>
              </w:r>
              <w:r>
                <w:rPr>
                  <w:rFonts w:ascii="Times New Roman" w:cs="Times New Roman" w:eastAsia="Times New Roman" w:hAnsi="Times New Roman"/>
                  <w:sz w:val="18"/>
                  <w:szCs w:val="18"/>
                  <w:color w:val="000000"/>
                </w:rPr>
                <w: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2021 Stock Plan and form of award agreements (incorporated by reference to Exhibit 10.24 to the Company’s Current Report on Form 8-K</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filed with the SEC on August 4, 2023)</w:t>
              </w:r>
              <w:r>
                <w:rPr>
                  <w:rFonts w:ascii="Times New Roman" w:cs="Times New Roman" w:eastAsia="Times New Roman" w:hAnsi="Times New Roman"/>
                  <w:sz w:val="18"/>
                  <w:szCs w:val="18"/>
                  <w:color w:val="000000"/>
                </w:rPr>
                <w:t>.</w:t>
              </w:r>
            </w:hyperlink>
          </w:p>
        </w:tc>
      </w:tr>
      <w:tr>
        <w:trPr>
          <w:trHeight w:val="21"/>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2023 Equity Incentive Plan and form of award agreements (incorporated by reference to Exhibit 10.29 to the Company’s Annual Report on</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10-K filed with the SEC on February 29, 2024)</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Master Services Agreement, dated as of February 1, 2024 and effective as of January 15, 2024, by and between Magna New Mobility USA,</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Inc. and Serve Operating Co. (incorporated by reference to Exhibit 10.1 to the Company’s Current Report on Form 8-K filed with the SEC on</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February 7, 2024)</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Statement of Work, dated as of February 1, 2024 and effective as of January 15, 2024, by and between Magna New Mobility USA, Inc. and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Serve Operating Co. (incorporated by reference to Exhibit 10.2 to the Company’s Current Report on Form 8-K filed with the SEC on</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February 7, 2024)</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License and Services Agreement, dated as of February 20, 2024 and effective as of February 20, 2024, by and between Magna New Mobility</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USA, Inc. and Serve Operating Co. (incorporated by reference to Exhibit 10.1 to the Company’s Current Report on Form 8-K filed with the</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SEC on February 23, 2024)</w:t>
              </w:r>
              <w:r>
                <w:rPr>
                  <w:rFonts w:ascii="Times New Roman" w:cs="Times New Roman" w:eastAsia="Times New Roman" w:hAnsi="Times New Roman"/>
                  <w:sz w:val="18"/>
                  <w:szCs w:val="18"/>
                  <w:color w:val="000000"/>
                </w:rPr>
                <w:t>.</w:t>
              </w:r>
            </w:hyperlink>
          </w:p>
        </w:tc>
      </w:tr>
      <w:tr>
        <w:trPr>
          <w:trHeight w:val="21"/>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Serve Robotics Inc. Outside Director Compensation Policy (incorporated by reference to Exhibit 10.33 to the Company’s Annual Report on</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Form 10-K filed with the SEC on February 29, 2024)</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Offer Letter, dated March 24, 2024, by and between Brian Read and Serve Operating Co. (incorporated by reference to Exhibit 10.1 to the</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Company’s Current Report on Form 8-K filed with the SEC on April 9, 2024)</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First Amendment to the Strategic Customer Agreement, dated as of January 9, 2024, by and between Ouster, Inc. and the Company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10.37 to the Company’s Amendment No. 1 to Registration Statement on Form S-1 filed with the SEC</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on June 28, 2024)</w:t>
              </w:r>
              <w:r>
                <w:rPr>
                  <w:rFonts w:ascii="Times New Roman" w:cs="Times New Roman" w:eastAsia="Times New Roman" w:hAnsi="Times New Roman"/>
                  <w:sz w:val="18"/>
                  <w:szCs w:val="18"/>
                  <w:color w:val="000000"/>
                </w:rPr>
                <w:t>.</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Second Amendment to the Strategic Customer Agreement, dated as of June 11, 2024, by and between Ouster, Inc. and the Company</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(incorporated by reference to Exhibit 10.38 to the Company’s Amendment No. 1 to Registration Statement on Form S-1 filed with the SEC</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on June 28, 2024)</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02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Form of Securities Purchase Agreement, by and between the Company and each purchaser identified on the signature pages thereto</w:t>
              </w:r>
            </w:hyperlink>
          </w:p>
        </w:tc>
      </w:tr>
      <w:tr>
        <w:trPr>
          <w:trHeight w:val="196"/>
        </w:trPr>
        <w:tc>
          <w:tcPr>
            <w:tcW w:w="1020" w:type="dxa"/>
            <w:vAlign w:val="bottom"/>
            <w:shd w:val="clear" w:color="auto" w:fill="CCEEFF"/>
          </w:tcPr>
          <w:p>
            <w:pPr>
              <w:spacing w:after="0"/>
              <w:rPr>
                <w:sz w:val="17"/>
                <w:szCs w:val="17"/>
                <w:color w:val="auto"/>
              </w:rPr>
            </w:pPr>
          </w:p>
        </w:tc>
        <w:tc>
          <w:tcPr>
            <w:tcW w:w="102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(incorporated by reference to Exhibit 10.1 to the Company’s Current Report on Form 8-K filed with the SEC on July 23, 2024)</w:t>
              </w:r>
              <w:r>
                <w:rPr>
                  <w:rFonts w:ascii="Times New Roman" w:cs="Times New Roman" w:eastAsia="Times New Roman" w:hAnsi="Times New Roman"/>
                  <w:sz w:val="18"/>
                  <w:szCs w:val="18"/>
                  <w:color w:val="000000"/>
                </w:rPr>
                <w:t>.</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2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Form of Registration Rights Agreement, by the Company and each of the several purchasers signatory thereto (incorporated by reference to</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Exhibit 10.3 to the Company’s Current Report on Form 8-K filed with the SEC on July 23, 2024)</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2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Subsidiaries of the Registrant (incorporated by reference to Exhibit 21.1 to the Company’s Current Report on Form 8-K filed with the SEC</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on August 4, 2023)</w:t>
              </w:r>
              <w:r>
                <w:rPr>
                  <w:rFonts w:ascii="Times New Roman" w:cs="Times New Roman" w:eastAsia="Times New Roman" w:hAnsi="Times New Roman"/>
                  <w:sz w:val="18"/>
                  <w:szCs w:val="18"/>
                  <w:color w:val="000000"/>
                </w:rPr>
                <w:t>.</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dbbmckennon, independent registered public accounting firm.</w:t>
            </w:r>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Orrick, Herrington &amp; Sutcliffe LLP (included in Exhibit 5.1).</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52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w:t>
            </w:r>
          </w:p>
        </w:tc>
        <w:tc>
          <w:tcPr>
            <w:tcW w:w="4980" w:type="dxa"/>
            <w:vAlign w:val="bottom"/>
            <w:tcBorders>
              <w:top w:val="single" w:sz="8" w:color="CCEEFF"/>
            </w:tcBorders>
            <w:gridSpan w:val="8"/>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left="46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Item 601(b)(10) of Regulation S-K. The registrant has furnished supplementally copies of the omitted portions of this exhibit to the SEC upon its request.</w:t>
      </w:r>
    </w:p>
    <w:p>
      <w:pPr>
        <w:spacing w:after="0" w:line="1" w:lineRule="exact"/>
        <w:rPr>
          <w:sz w:val="20"/>
          <w:szCs w:val="20"/>
          <w:color w:val="auto"/>
        </w:rPr>
      </w:pPr>
    </w:p>
    <w:p>
      <w:pPr>
        <w:ind w:left="460" w:right="20" w:hanging="452"/>
        <w:spacing w:after="0" w:line="26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or schedules to this exhibit have been omitted in accordance with Item 601(a)(5) of Regulation S-K. The registrant hereby agrees to furnish supplementally a copy of any omitted exhibit or schedule to the SEC upon its request.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Redwood City, State of California, on this 31st day of July, 2024.</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Ali Kashani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hereby constitutes and appoints Ali Kashani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Touraj Parang,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3"/>
                <w:szCs w:val="23"/>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3"/>
                <w:szCs w:val="2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/s/Ali Kashani</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Ali Kashani</w:t>
            </w:r>
          </w:p>
        </w:tc>
        <w:tc>
          <w:tcPr>
            <w:tcW w:w="120" w:type="dxa"/>
            <w:vAlign w:val="bottom"/>
          </w:tcPr>
          <w:p>
            <w:pPr>
              <w:spacing w:after="0"/>
              <w:rPr>
                <w:sz w:val="20"/>
                <w:szCs w:val="20"/>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Touraj Parang</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and Chief Operating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Touraj Parang</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Read</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Brian Read</w:t>
            </w:r>
          </w:p>
        </w:tc>
        <w:tc>
          <w:tcPr>
            <w:tcW w:w="120" w:type="dxa"/>
            <w:vAlign w:val="bottom"/>
          </w:tcPr>
          <w:p>
            <w:pPr>
              <w:spacing w:after="0"/>
              <w:rPr>
                <w:sz w:val="20"/>
                <w:szCs w:val="20"/>
                <w:color w:val="auto"/>
              </w:rPr>
            </w:pPr>
          </w:p>
        </w:tc>
        <w:tc>
          <w:tcPr>
            <w:tcW w:w="5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Euan Abraham</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Hardware and Manufacturing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Euan Abraham</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Goldberg</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David Goldberg</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Buckly Jordan</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James Buckly Jordan</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Sarfraz Maredia</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Sarfraz Maredia</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Olivier Vincent</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31, 2024</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Olivier Vincent</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37"/>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ind w:left="2040"/>
              <w:spacing w:after="0"/>
              <w:rPr>
                <w:sz w:val="20"/>
                <w:szCs w:val="20"/>
                <w:color w:val="auto"/>
              </w:rPr>
            </w:pPr>
            <w:r>
              <w:rPr>
                <w:rFonts w:ascii="Times New Roman" w:cs="Times New Roman" w:eastAsia="Times New Roman" w:hAnsi="Times New Roman"/>
                <w:sz w:val="18"/>
                <w:szCs w:val="18"/>
                <w:color w:val="auto"/>
              </w:rPr>
              <w:t>II-10</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156845</wp:posOffset>
            </wp:positionV>
            <wp:extent cx="1122680" cy="6343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5">
                      <a:extLst>
                        <a:ext uri="{28A0092B-C50C-407E-A947-70E740481C1C}"/>
                      </a:extLst>
                    </a:blip>
                    <a:srcRect/>
                    <a:stretch>
                      <a:fillRect/>
                    </a:stretch>
                  </pic:blipFill>
                  <pic:spPr bwMode="auto">
                    <a:xfrm>
                      <a:off x="0" y="0"/>
                      <a:ext cx="11226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Redwood City, CA 94063</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Orrick, Herrington &amp; Sutcliffe LLP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Berkeley St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+1-617-880-1800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orrick.com</w:t>
      </w:r>
    </w:p>
    <w:p>
      <w:pPr>
        <w:spacing w:after="0" w:line="404"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have acted as counsel to Serve Robotics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you have requested our opinion in connection with the filing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covering the registration of the resale of an aggregate of 5,000,000 shares of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as follows:</w:t>
      </w:r>
    </w:p>
    <w:p>
      <w:pPr>
        <w:spacing w:after="0" w:line="171" w:lineRule="exact"/>
        <w:rPr>
          <w:sz w:val="20"/>
          <w:szCs w:val="20"/>
          <w:color w:val="auto"/>
        </w:rPr>
      </w:pPr>
    </w:p>
    <w:p>
      <w:pPr>
        <w:ind w:left="900" w:right="20" w:hanging="447"/>
        <w:spacing w:after="0" w:line="286"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2,500,000 shares (the “</w:t>
      </w:r>
      <w:r>
        <w:rPr>
          <w:rFonts w:ascii="Times New Roman" w:cs="Times New Roman" w:eastAsia="Times New Roman" w:hAnsi="Times New Roman"/>
          <w:sz w:val="18"/>
          <w:szCs w:val="18"/>
          <w:b w:val="1"/>
          <w:bCs w:val="1"/>
          <w:i w:val="1"/>
          <w:iCs w:val="1"/>
          <w:color w:val="auto"/>
        </w:rPr>
        <w:t>Pre-Funded Warrant Shares</w:t>
      </w:r>
      <w:r>
        <w:rPr>
          <w:rFonts w:ascii="Times New Roman" w:cs="Times New Roman" w:eastAsia="Times New Roman" w:hAnsi="Times New Roman"/>
          <w:sz w:val="18"/>
          <w:szCs w:val="18"/>
          <w:color w:val="auto"/>
        </w:rPr>
        <w:t>”) of Common Stock issuable upon the exercise of certain outstanding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w:t>
      </w:r>
    </w:p>
    <w:p>
      <w:pPr>
        <w:spacing w:after="0" w:line="181" w:lineRule="exact"/>
        <w:rPr>
          <w:rFonts w:ascii="Times New Roman" w:cs="Times New Roman" w:eastAsia="Times New Roman" w:hAnsi="Times New Roman"/>
          <w:sz w:val="18"/>
          <w:szCs w:val="18"/>
          <w:color w:val="auto"/>
        </w:rPr>
      </w:pPr>
    </w:p>
    <w:p>
      <w:pPr>
        <w:jc w:val="both"/>
        <w:ind w:left="900" w:hanging="447"/>
        <w:spacing w:after="0" w:line="268"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2,500,000 shares (the “</w:t>
      </w:r>
      <w:r>
        <w:rPr>
          <w:rFonts w:ascii="Times New Roman" w:cs="Times New Roman" w:eastAsia="Times New Roman" w:hAnsi="Times New Roman"/>
          <w:sz w:val="18"/>
          <w:szCs w:val="18"/>
          <w:b w:val="1"/>
          <w:bCs w:val="1"/>
          <w:i w:val="1"/>
          <w:iCs w:val="1"/>
          <w:color w:val="auto"/>
        </w:rPr>
        <w:t>Investor Warrant Shares</w:t>
      </w:r>
      <w:r>
        <w:rPr>
          <w:rFonts w:ascii="Times New Roman" w:cs="Times New Roman" w:eastAsia="Times New Roman" w:hAnsi="Times New Roman"/>
          <w:sz w:val="18"/>
          <w:szCs w:val="18"/>
          <w:color w:val="auto"/>
        </w:rPr>
        <w:t>,” and together with the Pre-Funded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issuable upon the exercise of certain outstanding warrants (the “</w:t>
      </w:r>
      <w:r>
        <w:rPr>
          <w:rFonts w:ascii="Times New Roman" w:cs="Times New Roman" w:eastAsia="Times New Roman" w:hAnsi="Times New Roman"/>
          <w:sz w:val="18"/>
          <w:szCs w:val="18"/>
          <w:b w:val="1"/>
          <w:bCs w:val="1"/>
          <w:i w:val="1"/>
          <w:iCs w:val="1"/>
          <w:color w:val="auto"/>
        </w:rPr>
        <w:t>Investor Warrants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Company’s certificate of incorporation and bylaws, each as currently in effect, and the originals, or copies identified to our satisfaction, of such corporate records of the Company, certificates of public officials, officers of the Company, and other persons, and such other documents, agreements and instruments as we have deemed relevant and necessary for the basis of our opinions hereinafter expressed. In such examination, we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Warrant Shares, when issued and paid for upon exercise of the Warrants in accordance with the terms of the Warrants, will be validly issued, fully paid and nonassessable.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herein is limited to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Serve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“Legal Matters” in the Registration Statement. In giving these consents, we do not thereby admit that we are within the category of persons whose consent is required under Section 7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Rules and Regulations of the Commission promulgated thereunder, nor do we thereby admit that we are “experts” within the meaning of such term as used in the Securities Act with respect to any part of the Registration Statement, including this opinion letter as an exhibit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ORRICK, HERRINGTON &amp; SUTCLIFFE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February 29, 2024, related to the financial statements of Serve Robotics Inc. as of December 31, 2023 and 2022, and for the years then ended, which includes an explanatory paragraph regarding the substantial doubt about the Company’s ability to continue as a going concern.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dbb</w:t>
      </w:r>
      <w:r>
        <w:rPr>
          <w:rFonts w:ascii="Times New Roman" w:cs="Times New Roman" w:eastAsia="Times New Roman" w:hAnsi="Times New Roman"/>
          <w:sz w:val="18"/>
          <w:szCs w:val="18"/>
          <w:i w:val="1"/>
          <w:iCs w:val="1"/>
          <w:color w:val="auto"/>
        </w:rPr>
        <w:t>mckennon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117" w:right="339" w:bottom="1440" w:gutter="0" w:footer="0" w:header="0"/>
        </w:sectPr>
      </w:pPr>
    </w:p>
    <w:bookmarkStart w:id="159" w:name="page160"/>
    <w:bookmarkEnd w:id="159"/>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color w:val="auto"/>
                <w:w w:val="98"/>
              </w:rPr>
              <w:t>Table 1: Newly Registered Securities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0"/>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16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45"/>
        </w:trPr>
        <w:tc>
          <w:tcPr>
            <w:tcW w:w="116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Registered (1)(2)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Price (3)</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60" w:type="dxa"/>
            <w:vAlign w:val="bottom"/>
          </w:tcPr>
          <w:p>
            <w:pPr>
              <w:spacing w:after="0"/>
              <w:rPr>
                <w:sz w:val="21"/>
                <w:szCs w:val="21"/>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 (2)</w:t>
            </w:r>
          </w:p>
        </w:tc>
      </w:tr>
      <w:tr>
        <w:trPr>
          <w:trHeight w:val="184"/>
        </w:trPr>
        <w:tc>
          <w:tcPr>
            <w:tcW w:w="11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Fees to Be</w:t>
            </w:r>
          </w:p>
        </w:tc>
        <w:tc>
          <w:tcPr>
            <w:tcW w:w="150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Common Stock,</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457(c)</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29"/>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$0.0001 par value</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4"/>
        </w:trPr>
        <w:tc>
          <w:tcPr>
            <w:tcW w:w="1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per share</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16.81</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$ 84,050,000.00</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0.0001476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12,405.78</w:t>
            </w:r>
          </w:p>
        </w:tc>
        <w:tc>
          <w:tcPr>
            <w:tcW w:w="80" w:type="dxa"/>
            <w:vAlign w:val="bottom"/>
            <w:shd w:val="clear" w:color="auto" w:fill="CCEEFF"/>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60" w:type="dxa"/>
            <w:vAlign w:val="bottom"/>
            <w:gridSpan w:val="4"/>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$ 84,050,000.00</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12,405.78</w:t>
            </w:r>
          </w:p>
        </w:tc>
        <w:tc>
          <w:tcPr>
            <w:tcW w:w="80" w:type="dxa"/>
            <w:vAlign w:val="bottom"/>
            <w:shd w:val="clear" w:color="auto" w:fill="CCEEFF"/>
          </w:tcPr>
          <w:p>
            <w:pPr>
              <w:spacing w:after="0"/>
              <w:rPr>
                <w:sz w:val="21"/>
                <w:szCs w:val="21"/>
                <w:color w:val="auto"/>
              </w:rPr>
            </w:pPr>
          </w:p>
        </w:tc>
      </w:tr>
      <w:tr>
        <w:trPr>
          <w:trHeight w:val="210"/>
        </w:trPr>
        <w:tc>
          <w:tcPr>
            <w:tcW w:w="116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920" w:type="dxa"/>
            <w:vAlign w:val="bottom"/>
            <w:tcBorders>
              <w:top w:val="single" w:sz="8" w:color="CCEEFF"/>
              <w:bottom w:val="single" w:sz="8" w:color="CCEEFF"/>
            </w:tcBorders>
            <w:gridSpan w:val="6"/>
          </w:tcPr>
          <w:p>
            <w:pPr>
              <w:jc w:val="center"/>
              <w:ind w:right="660"/>
              <w:spacing w:after="0" w:line="203" w:lineRule="exact"/>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1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4"/>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12,405.78</w:t>
            </w:r>
          </w:p>
        </w:tc>
        <w:tc>
          <w:tcPr>
            <w:tcW w:w="80" w:type="dxa"/>
            <w:vAlign w:val="bottom"/>
          </w:tcPr>
          <w:p>
            <w:pPr>
              <w:spacing w:after="0"/>
              <w:rPr>
                <w:sz w:val="20"/>
                <w:szCs w:val="20"/>
                <w:color w:val="auto"/>
              </w:rPr>
            </w:pPr>
          </w:p>
        </w:tc>
      </w:tr>
      <w:tr>
        <w:trPr>
          <w:trHeight w:val="21"/>
        </w:trPr>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indeterminate number of securities that may become offered, issuable or sold to prevent dilution resulting from stock splits, stock dividends and similar transactions, which are included pursuant to Rule 416 under the Securities Act of 1933, as amended (the “Securities Act”).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registered consists of (i) 2,500,000 shares of our common stock issuable upon exercise of the warrants issued to Armistice Capital Master Fund Ltd. (“Armistice”) pursuant to the Securities Purchase Agreement, dated July 23, 2024, by and between Serve Robotics Inc. and each purchaser identified on the signature pages thereto (the “Securities Purchase Agreement”), and (ii) 2,500,000 shares of our common stock issuable upon exercise of the pre-funded warrants issued to Armistice pursuant to the Securities Purchase Agreement.</w:t>
      </w:r>
    </w:p>
    <w:p>
      <w:pPr>
        <w:spacing w:after="0" w:line="179"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of the high and low prices of the shares of common stock of the registrant on The Nasdaq Capital Market on July 29, 2024 (such date being within five business days of the date that this registration statement was first filed with the U.S. Securities and Exchange Commission, in accordance with Rule 457(c) under the Securities Act).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730"/>
    </w:lvl>
  </w:abstractNum>
  <w:abstractNum w:abstractNumId="1">
    <w:nsid w:val="542289EC"/>
    <w:multiLevelType w:val="hybridMultilevel"/>
    <w:lvl w:ilvl="0">
      <w:lvlJc w:val="left"/>
      <w:lvlText w:val="%1"/>
      <w:numFmt w:val="decimal"/>
      <w:start w:val="730"/>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3"/>
    </w:lvl>
  </w:abstractNum>
  <w:abstractNum w:abstractNumId="41">
    <w:nsid w:val="4AD084E9"/>
    <w:multiLevelType w:val="hybridMultilevel"/>
    <w:lvl w:ilvl="0">
      <w:lvlJc w:val="left"/>
      <w:lvlText w:val="(%1)"/>
      <w:numFmt w:val="lowerRoman"/>
      <w:start w:val="7"/>
    </w:lvl>
  </w:abstractNum>
  <w:abstractNum w:abstractNumId="42">
    <w:nsid w:val="1F48EAA1"/>
    <w:multiLevelType w:val="hybridMultilevel"/>
    <w:lvl w:ilvl="0">
      <w:lvlJc w:val="left"/>
      <w:lvlText w:val="(%1)"/>
      <w:numFmt w:val="lowerRoman"/>
      <w:start w:val="1"/>
    </w:lvl>
  </w:abstractNum>
  <w:abstractNum w:abstractNumId="43">
    <w:nsid w:val="1381823A"/>
    <w:multiLevelType w:val="hybridMultilevel"/>
    <w:lvl w:ilvl="0">
      <w:lvlJc w:val="left"/>
      <w:lvlText w:val="(%1)"/>
      <w:numFmt w:val="lowerRoman"/>
      <w:start w:val="10"/>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2"/>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1"/>
    </w:lvl>
    <w:lvl w:ilvl="1">
      <w:lvlJc w:val="left"/>
      <w:lvlText w:val="(%2)"/>
      <w:numFmt w:val="lowerRoman"/>
      <w:start w:val="5"/>
    </w:lvl>
  </w:abstractNum>
  <w:abstractNum w:abstractNumId="50">
    <w:nsid w:val="799D0247"/>
    <w:multiLevelType w:val="hybridMultilevel"/>
    <w:lvl w:ilvl="0">
      <w:lvlJc w:val="left"/>
      <w:lvlText w:val="%1"/>
      <w:numFmt w:val="decimal"/>
      <w:start w:val="1"/>
    </w:lvl>
    <w:lvl w:ilvl="1">
      <w:lvlJc w:val="left"/>
      <w:lvlText w:val="(%2)"/>
      <w:numFmt w:val="lowerRoman"/>
      <w:start w:val="7"/>
    </w:lvl>
  </w:abstractNum>
  <w:abstractNum w:abstractNumId="51">
    <w:nsid w:val="6B94764"/>
    <w:multiLevelType w:val="hybridMultilevel"/>
    <w:lvl w:ilvl="0">
      <w:lvlJc w:val="left"/>
      <w:lvlText w:val="(%1)"/>
      <w:numFmt w:val="decimal"/>
      <w:start w:val="6"/>
    </w:lvl>
    <w:lvl w:ilvl="1">
      <w:lvlJc w:val="left"/>
      <w:lvlText w:val="%2"/>
      <w:numFmt w:val="lowerRoman"/>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lowerRoman"/>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1)"/>
      <w:numFmt w:val="lowerRoman"/>
      <w:start w:val="1"/>
    </w:lvl>
  </w:abstractNum>
  <w:abstractNum w:abstractNumId="71">
    <w:nsid w:val="6A5EE64"/>
    <w:multiLevelType w:val="hybridMultilevel"/>
    <w:lvl w:ilvl="0">
      <w:lvlJc w:val="left"/>
      <w:lvlText w:val="%1."/>
      <w:numFmt w:val="decimal"/>
      <w:start w:val="5"/>
    </w:lvl>
  </w:abstractNum>
  <w:abstractNum w:abstractNumId="72">
    <w:nsid w:val="14330624"/>
    <w:multiLevelType w:val="hybridMultilevel"/>
    <w:lvl w:ilvl="0">
      <w:lvlJc w:val="left"/>
      <w:lvlText w:val="%1."/>
      <w:numFmt w:val="decimal"/>
      <w:start w:val="7"/>
    </w:lvl>
  </w:abstractNum>
  <w:abstractNum w:abstractNumId="73">
    <w:nsid w:val="7FFFCA11"/>
    <w:multiLevelType w:val="hybridMultilevel"/>
    <w:lvl w:ilvl="0">
      <w:lvlJc w:val="left"/>
      <w:lvlText w:val="%1."/>
      <w:numFmt w:val="decimal"/>
      <w:start w:val="8"/>
    </w:lvl>
  </w:abstractNum>
  <w:abstractNum w:abstractNumId="74">
    <w:nsid w:val="1A27709E"/>
    <w:multiLevelType w:val="hybridMultilevel"/>
    <w:lvl w:ilvl="0">
      <w:lvlJc w:val="left"/>
      <w:lvlText w:val="%1."/>
      <w:numFmt w:val="decimal"/>
      <w:start w:val="9"/>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decimal"/>
      <w:start w:val="943"/>
    </w:lvl>
  </w:abstractNum>
  <w:abstractNum w:abstractNumId="77">
    <w:nsid w:val="7FB7E0AA"/>
    <w:multiLevelType w:val="hybridMultilevel"/>
    <w:lvl w:ilvl="0">
      <w:lvlJc w:val="left"/>
      <w:lvlText w:val="(%1)"/>
      <w:numFmt w:val="lowerRoman"/>
      <w:start w:val="2"/>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1)"/>
      <w:numFmt w:val="lowerLetter"/>
      <w:start w:val="2"/>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3"/>
    </w:lvl>
  </w:abstractNum>
  <w:abstractNum w:abstractNumId="82">
    <w:nsid w:val="76272110"/>
    <w:multiLevelType w:val="hybridMultilevel"/>
    <w:lvl w:ilvl="0">
      <w:lvlJc w:val="left"/>
      <w:lvlText w:val="%1."/>
      <w:numFmt w:val="decimal"/>
      <w:start w:val="1"/>
    </w:lvl>
    <w:lvl w:ilvl="1">
      <w:lvlJc w:val="left"/>
      <w:lvlText w:val="(%2)"/>
      <w:numFmt w:val="lowerRoman"/>
      <w:start w:val="1"/>
    </w:lvl>
  </w:abstractNum>
  <w:abstractNum w:abstractNumId="83">
    <w:nsid w:val="4C04A8AF"/>
    <w:multiLevelType w:val="hybridMultilevel"/>
    <w:lvl w:ilvl="0">
      <w:lvlJc w:val="left"/>
      <w:lvlText w:val="(%1)"/>
      <w:numFmt w:val="lowerRoman"/>
      <w:start w:val="3"/>
    </w:lvl>
  </w:abstractNum>
  <w:abstractNum w:abstractNumId="84">
    <w:nsid w:val="1716703B"/>
    <w:multiLevelType w:val="hybridMultilevel"/>
    <w:lvl w:ilvl="0">
      <w:lvlJc w:val="left"/>
      <w:lvlText w:val="%1."/>
      <w:numFmt w:val="decimal"/>
      <w:start w:val="2"/>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1)"/>
      <w:numFmt w:val="lowerRoman"/>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97" Type="http://schemas.openxmlformats.org/officeDocument/2006/relationships/image" Target="media/image166.png"/><Relationship Id="rId217" Type="http://schemas.openxmlformats.org/officeDocument/2006/relationships/image" Target="media/image167.png"/><Relationship Id="rId233" Type="http://schemas.openxmlformats.org/officeDocument/2006/relationships/image" Target="media/image168.png"/><Relationship Id="rId234" Type="http://schemas.openxmlformats.org/officeDocument/2006/relationships/image" Target="media/image169.png"/><Relationship Id="rId235" Type="http://schemas.openxmlformats.org/officeDocument/2006/relationships/image" Target="media/image170.jpeg"/><Relationship Id="rId236" Type="http://schemas.openxmlformats.org/officeDocument/2006/relationships/image" Target="media/image171.png"/><Relationship Id="rId237" Type="http://schemas.openxmlformats.org/officeDocument/2006/relationships/image" Target="media/image172.png"/><Relationship Id="rId173" Type="http://schemas.openxmlformats.org/officeDocument/2006/relationships/hyperlink" Target="http://www.sec.gov/Archives/edgar/data/1832483/000121390024033956/ea020411501ex1-1_serve.htm" TargetMode="External"/><Relationship Id="rId174" Type="http://schemas.openxmlformats.org/officeDocument/2006/relationships/hyperlink" Target="http://www.sec.gov/Archives/edgar/data/1832483/000121390023063662/ea180762ex2-1_patriciaacq.htm" TargetMode="External"/><Relationship Id="rId175" Type="http://schemas.openxmlformats.org/officeDocument/2006/relationships/hyperlink" Target="http://www.sec.gov/Archives/edgar/data/1832483/000121390023063662/ea180762ex3-1_patriciaacq.htm" TargetMode="External"/><Relationship Id="rId176" Type="http://schemas.openxmlformats.org/officeDocument/2006/relationships/hyperlink" Target="http://www.sec.gov/Archives/edgar/data/1832483/000121390023063662/ea180762ex3-2_patriciaacq.htm" TargetMode="External"/><Relationship Id="rId177" Type="http://schemas.openxmlformats.org/officeDocument/2006/relationships/hyperlink" Target="http://www.sec.gov/Archives/edgar/data/1832483/000121390023063662/ea180762ex3-3_patriciaacq.htm" TargetMode="External"/><Relationship Id="rId178" Type="http://schemas.openxmlformats.org/officeDocument/2006/relationships/hyperlink" Target="http://www.sec.gov/Archives/edgar/data/1832483/000121390023063662/ea180762ex4-1_patriciaacq.htm" TargetMode="External"/><Relationship Id="rId179" Type="http://schemas.openxmlformats.org/officeDocument/2006/relationships/hyperlink" Target="http://www.sec.gov/Archives/edgar/data/1832483/000121390023063662/ea180762ex4-2_patriciaacq.htm" TargetMode="External"/><Relationship Id="rId180" Type="http://schemas.openxmlformats.org/officeDocument/2006/relationships/hyperlink" Target="http://www.sec.gov/Archives/edgar/data/1832483/000121390023063662/ea180762ex4-3_patriciaacq.htm" TargetMode="External"/><Relationship Id="rId181" Type="http://schemas.openxmlformats.org/officeDocument/2006/relationships/hyperlink" Target="http://www.sec.gov/Archives/edgar/data/1832483/000121390023063662/ea180762ex4-4_patriciaacq.htm" TargetMode="External"/><Relationship Id="rId182" Type="http://schemas.openxmlformats.org/officeDocument/2006/relationships/hyperlink" Target="http://www.sec.gov/Archives/edgar/data/1832483/000121390024000500/ea190928ex4-1_serve.htm" TargetMode="External"/><Relationship Id="rId183" Type="http://schemas.openxmlformats.org/officeDocument/2006/relationships/hyperlink" Target="http://www.sec.gov/Archives/edgar/data/1832483/000121390024000500/ea190928ex4-2_serve.htm" TargetMode="External"/><Relationship Id="rId184" Type="http://schemas.openxmlformats.org/officeDocument/2006/relationships/hyperlink" Target="http://www.sec.gov/Archives/edgar/data/1832483/000121390024011153/ea192920ex10-3_serve.htm" TargetMode="External"/><Relationship Id="rId185" Type="http://schemas.openxmlformats.org/officeDocument/2006/relationships/hyperlink" Target="http://www.sec.gov/Archives/edgar/data/1832483/000121390024021137/ea0201013ex4-8_servero.htm" TargetMode="External"/><Relationship Id="rId186" Type="http://schemas.openxmlformats.org/officeDocument/2006/relationships/hyperlink" Target="http://www.sec.gov/Archives/edgar/data/1832483/000121390024035088/ea020441401ex4-1_serve.htm" TargetMode="External"/><Relationship Id="rId187" Type="http://schemas.openxmlformats.org/officeDocument/2006/relationships/hyperlink" Target="http://www.sec.gov/Archives/edgar/data/1832483/000121390024035088/ea020441401ex4-2_serve.htm" TargetMode="External"/><Relationship Id="rId188" Type="http://schemas.openxmlformats.org/officeDocument/2006/relationships/hyperlink" Target="http://www.sec.gov/Archives/edgar/data/1832483/000121390024063643/ea020987601ex10-4_serve.htm" TargetMode="External"/><Relationship Id="rId189" Type="http://schemas.openxmlformats.org/officeDocument/2006/relationships/hyperlink" Target="http://www.sec.gov/Archives/edgar/data/1832483/000121390024063643/ea020987601ex10-2_serve.htm" TargetMode="External"/><Relationship Id="rId190" Type="http://schemas.openxmlformats.org/officeDocument/2006/relationships/hyperlink" Target="http://www.sec.gov/Archives/edgar/data/1832483/000121390023063662/ea180762ex10-1_patriciaacq.htm" TargetMode="External"/><Relationship Id="rId191" Type="http://schemas.openxmlformats.org/officeDocument/2006/relationships/hyperlink" Target="http://www.sec.gov/Archives/edgar/data/1832483/000121390023063662/ea180762ex10-2_patriciaacq.htm" TargetMode="External"/><Relationship Id="rId192" Type="http://schemas.openxmlformats.org/officeDocument/2006/relationships/hyperlink" Target="http://www.sec.gov/Archives/edgar/data/1832483/000121390023063662/ea180762ex10-3_patriciaacq.htm" TargetMode="External"/><Relationship Id="rId193" Type="http://schemas.openxmlformats.org/officeDocument/2006/relationships/hyperlink" Target="http://www.sec.gov/Archives/edgar/data/1832483/000121390023063662/ea180762ex10-4_patriciaacq.htm" TargetMode="External"/><Relationship Id="rId194" Type="http://schemas.openxmlformats.org/officeDocument/2006/relationships/hyperlink" Target="http://www.sec.gov/Archives/edgar/data/1832483/000121390023063662/ea180762ex10-5_patriciaacq.htm" TargetMode="External"/><Relationship Id="rId195" Type="http://schemas.openxmlformats.org/officeDocument/2006/relationships/hyperlink" Target="http://www.sec.gov/Archives/edgar/data/1832483/000121390023063662/ea180762ex10-6_patriciaacq.htm" TargetMode="External"/><Relationship Id="rId196" Type="http://schemas.openxmlformats.org/officeDocument/2006/relationships/hyperlink" Target="http://www.sec.gov/Archives/edgar/data/1832483/000121390023063662/ea180762ex10-7_patriciaacq.htm" TargetMode="External"/><Relationship Id="rId198" Type="http://schemas.openxmlformats.org/officeDocument/2006/relationships/hyperlink" Target="http://www.sec.gov/Archives/edgar/data/1832483/000121390023090587/ea188580ex10-8_serverobo.htm" TargetMode="External"/><Relationship Id="rId199" Type="http://schemas.openxmlformats.org/officeDocument/2006/relationships/hyperlink" Target="http://www.sec.gov/Archives/edgar/data/1832483/000121390023090587/ea188580ex10-9_serverobo.htm" TargetMode="External"/><Relationship Id="rId200" Type="http://schemas.openxmlformats.org/officeDocument/2006/relationships/hyperlink" Target="http://www.sec.gov/Archives/edgar/data/1832483/000121390023090587/ea188580ex10-10_serverobo.htm" TargetMode="External"/><Relationship Id="rId201" Type="http://schemas.openxmlformats.org/officeDocument/2006/relationships/hyperlink" Target="http://www.sec.gov/Archives/edgar/data/1832483/000121390023090587/ea188580ex10-11_serverobo.htm" TargetMode="External"/><Relationship Id="rId202" Type="http://schemas.openxmlformats.org/officeDocument/2006/relationships/hyperlink" Target="http://www.sec.gov/Archives/edgar/data/1832483/000121390023090587/ea188580ex10-12_serverobo.htm" TargetMode="External"/><Relationship Id="rId203" Type="http://schemas.openxmlformats.org/officeDocument/2006/relationships/hyperlink" Target="http://www.sec.gov/Archives/edgar/data/1832483/000121390024050861/ea020744201ex10-13_serverobo.htm" TargetMode="External"/><Relationship Id="rId204" Type="http://schemas.openxmlformats.org/officeDocument/2006/relationships/hyperlink" Target="http://www.sec.gov/Archives/edgar/data/1832483/000121390023090587/ea188580ex10-13_serverobo.htm" TargetMode="External"/><Relationship Id="rId205" Type="http://schemas.openxmlformats.org/officeDocument/2006/relationships/hyperlink" Target="http://www.sec.gov/Archives/edgar/data/1832483/000121390023090587/ea188580ex10-14_serverobo.htm" TargetMode="External"/><Relationship Id="rId206" Type="http://schemas.openxmlformats.org/officeDocument/2006/relationships/hyperlink" Target="http://www.sec.gov/Archives/edgar/data/1832483/000121390024043174/ea020586901ex10-5_serverobo.htm" TargetMode="External"/><Relationship Id="rId207" Type="http://schemas.openxmlformats.org/officeDocument/2006/relationships/hyperlink" Target="http://www.sec.gov/Archives/edgar/data/1832483/000121390023063662/ea180762ex10-14_patriciaacq.htm" TargetMode="External"/><Relationship Id="rId208" Type="http://schemas.openxmlformats.org/officeDocument/2006/relationships/hyperlink" Target="http://www.sec.gov/Archives/edgar/data/1832483/000121390024018566/ea0200355ex10-16_serverobot.htm" TargetMode="External"/><Relationship Id="rId209" Type="http://schemas.openxmlformats.org/officeDocument/2006/relationships/hyperlink" Target="http://www.sec.gov/Archives/edgar/data/1832483/000121390024018566/ea0200355ex10-17_serverobot.htm" TargetMode="External"/><Relationship Id="rId210" Type="http://schemas.openxmlformats.org/officeDocument/2006/relationships/hyperlink" Target="http://www.sec.gov/Archives/edgar/data/1832483/000121390023063662/ea180762ex10-15_patriciaacq.htm" TargetMode="External"/><Relationship Id="rId211" Type="http://schemas.openxmlformats.org/officeDocument/2006/relationships/hyperlink" Target="http://www.sec.gov/Archives/edgar/data/1832483/000121390023063662/ea180762ex10-16_patriciaacq.htm" TargetMode="External"/><Relationship Id="rId212" Type="http://schemas.openxmlformats.org/officeDocument/2006/relationships/hyperlink" Target="http://www.sec.gov/Archives/edgar/data/1832483/000121390023063662/ea180762ex10-17_patriciaacq.htm" TargetMode="External"/><Relationship Id="rId213" Type="http://schemas.openxmlformats.org/officeDocument/2006/relationships/hyperlink" Target="http://www.sec.gov/Archives/edgar/data/1832483/000121390023063662/ea180762ex10-18_patriciaacq.htm" TargetMode="External"/><Relationship Id="rId214" Type="http://schemas.openxmlformats.org/officeDocument/2006/relationships/hyperlink" Target="http://www.sec.gov/Archives/edgar/data/1832483/000121390023063662/ea180762ex10-19_patriciaacq.htm" TargetMode="External"/><Relationship Id="rId215" Type="http://schemas.openxmlformats.org/officeDocument/2006/relationships/hyperlink" Target="http://www.sec.gov/Archives/edgar/data/1832483/000121390024018566/ea0200355ex10-23_serverobot.htm" TargetMode="External"/><Relationship Id="rId216" Type="http://schemas.openxmlformats.org/officeDocument/2006/relationships/hyperlink" Target="http://www.sec.gov/Archives/edgar/data/1832483/000121390023063662/ea180762ex10-20_patriciaacq.htm" TargetMode="External"/><Relationship Id="rId218" Type="http://schemas.openxmlformats.org/officeDocument/2006/relationships/hyperlink" Target="http://www.sec.gov/Archives/edgar/data/1832483/000121390023063662/ea180762ex10-21_patriciaacq.htm" TargetMode="External"/><Relationship Id="rId219" Type="http://schemas.openxmlformats.org/officeDocument/2006/relationships/hyperlink" Target="http://www.sec.gov/Archives/edgar/data/1832483/000121390023063662/ea180762ex10-22_patriciaacq.htm" TargetMode="External"/><Relationship Id="rId220" Type="http://schemas.openxmlformats.org/officeDocument/2006/relationships/hyperlink" Target="http://www.sec.gov/Archives/edgar/data/1832483/000121390023063662/ea180762ex10-23_patriciaacq.htm" TargetMode="External"/><Relationship Id="rId221" Type="http://schemas.openxmlformats.org/officeDocument/2006/relationships/hyperlink" Target="http://www.sec.gov/Archives/edgar/data/1832483/000121390023063662/ea180762ex10-24_patriciaacq.htm" TargetMode="External"/><Relationship Id="rId222" Type="http://schemas.openxmlformats.org/officeDocument/2006/relationships/hyperlink" Target="http://www.sec.gov/Archives/edgar/data/1832483/000121390024018566/ea0200355ex10-29_serverobot.htm" TargetMode="External"/><Relationship Id="rId223" Type="http://schemas.openxmlformats.org/officeDocument/2006/relationships/hyperlink" Target="http://www.sec.gov/Archives/edgar/data/1832483/000121390024011153/ea192920ex10-1_serve.htm" TargetMode="External"/><Relationship Id="rId224" Type="http://schemas.openxmlformats.org/officeDocument/2006/relationships/hyperlink" Target="http://www.sec.gov/Archives/edgar/data/1832483/000121390024011153/ea192920ex10-2_serve.htm" TargetMode="External"/><Relationship Id="rId225" Type="http://schemas.openxmlformats.org/officeDocument/2006/relationships/hyperlink" Target="http://www.sec.gov/Archives/edgar/data/1832483/000121390024016482/ea0200460ex10-1_serverobo.htm" TargetMode="External"/><Relationship Id="rId226" Type="http://schemas.openxmlformats.org/officeDocument/2006/relationships/hyperlink" Target="http://www.sec.gov/Archives/edgar/data/1832483/000121390024018566/ea0200355ex10-33_serverobot.htm" TargetMode="External"/><Relationship Id="rId227" Type="http://schemas.openxmlformats.org/officeDocument/2006/relationships/hyperlink" Target="http://www.sec.gov/Archives/edgar/data/1832483/000121390024031358/ea020344401ex10-1_serverob.htm" TargetMode="External"/><Relationship Id="rId228" Type="http://schemas.openxmlformats.org/officeDocument/2006/relationships/hyperlink" Target="http://www.sec.gov/Archives/edgar/data/1832483/000121390024057276/ea020860601ex10-37_serverobo.htm" TargetMode="External"/><Relationship Id="rId229" Type="http://schemas.openxmlformats.org/officeDocument/2006/relationships/hyperlink" Target="http://www.sec.gov/Archives/edgar/data/1832483/000121390024057276/ea020860601ex10-38_serverobo.htm" TargetMode="External"/><Relationship Id="rId230" Type="http://schemas.openxmlformats.org/officeDocument/2006/relationships/hyperlink" Target="http://www.sec.gov/Archives/edgar/data/1832483/000121390024063643/ea020987601ex10-1_serve.htm" TargetMode="External"/><Relationship Id="rId231" Type="http://schemas.openxmlformats.org/officeDocument/2006/relationships/hyperlink" Target="http://www.sec.gov/Archives/edgar/data/1832483/000121390024063643/ea020987601ex10-3_serve.htm" TargetMode="External"/><Relationship Id="rId232" Type="http://schemas.openxmlformats.org/officeDocument/2006/relationships/hyperlink" Target="http://www.sec.gov/Archives/edgar/data/1832483/000121390023063662/ea180762ex21-1_patricia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2024-07-31T05:50:58Z</dcterms:created>
  <dcterms:modified xsi:type="dcterms:W3CDTF">2024-07-31T05:50:58Z</dcterms:modified>
</cp:coreProperties>
</file>