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8"/>
          <w:szCs w:val="8"/>
          <w:b w:val="1"/>
          <w:bCs w:val="1"/>
          <w:color w:val="auto"/>
        </w:rPr>
        <w:t>ORM</w:t>
      </w:r>
      <w:r>
        <w:rPr>
          <w:rFonts w:ascii="Times New Roman" w:cs="Times New Roman" w:eastAsia="Times New Roman" w:hAnsi="Times New Roman"/>
          <w:sz w:val="14"/>
          <w:szCs w:val="14"/>
          <w:b w:val="1"/>
          <w:bCs w:val="1"/>
          <w:color w:val="auto"/>
        </w:rPr>
        <w:t xml:space="preserve"> 10-K</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7"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4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 to __________</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20" w:type="dxa"/>
            <w:vAlign w:val="bottom"/>
            <w:gridSpan w:val="7"/>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COMMISSION FILE NUMBER 001-42023</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5"/>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500" w:type="dxa"/>
            <w:vAlign w:val="bottom"/>
            <w:gridSpan w:val="8"/>
          </w:tcPr>
          <w:p>
            <w:pPr>
              <w:jc w:val="center"/>
              <w:ind w:left="370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85-3844872</w:t>
            </w:r>
          </w:p>
        </w:tc>
        <w:tc>
          <w:tcPr>
            <w:tcW w:w="0" w:type="dxa"/>
            <w:vAlign w:val="bottom"/>
          </w:tcPr>
          <w:p>
            <w:pPr>
              <w:spacing w:after="0"/>
              <w:rPr>
                <w:sz w:val="1"/>
                <w:szCs w:val="1"/>
                <w:color w:val="auto"/>
              </w:rPr>
            </w:pPr>
          </w:p>
        </w:tc>
      </w:tr>
      <w:tr>
        <w:trPr>
          <w:trHeight w:val="138"/>
        </w:trPr>
        <w:tc>
          <w:tcPr>
            <w:tcW w:w="4280" w:type="dxa"/>
            <w:vAlign w:val="bottom"/>
          </w:tcPr>
          <w:p>
            <w:pPr>
              <w:jc w:val="center"/>
              <w:ind w:left="1209"/>
              <w:spacing w:after="0" w:line="138"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tcPr>
          <w:p>
            <w:pPr>
              <w:jc w:val="center"/>
              <w:ind w:right="1789"/>
              <w:spacing w:after="0" w:line="138"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4280" w:type="dxa"/>
            <w:vAlign w:val="bottom"/>
          </w:tcPr>
          <w:p>
            <w:pPr>
              <w:jc w:val="center"/>
              <w:ind w:left="12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80" w:type="dxa"/>
            <w:vAlign w:val="bottom"/>
          </w:tcPr>
          <w:p>
            <w:pPr>
              <w:jc w:val="center"/>
              <w:ind w:right="1709"/>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0" w:type="dxa"/>
            <w:vAlign w:val="bottom"/>
          </w:tcPr>
          <w:p>
            <w:pPr>
              <w:spacing w:after="0"/>
              <w:rPr>
                <w:sz w:val="1"/>
                <w:szCs w:val="1"/>
                <w:color w:val="auto"/>
              </w:rPr>
            </w:pPr>
          </w:p>
        </w:tc>
      </w:tr>
      <w:tr>
        <w:trPr>
          <w:trHeight w:val="357"/>
        </w:trPr>
        <w:tc>
          <w:tcPr>
            <w:tcW w:w="42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730 Broadway</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vMerge w:val="restart"/>
          </w:tcPr>
          <w:p>
            <w:pPr>
              <w:jc w:val="right"/>
              <w:ind w:right="2289"/>
              <w:spacing w:after="0"/>
              <w:rPr>
                <w:sz w:val="20"/>
                <w:szCs w:val="20"/>
                <w:color w:val="auto"/>
              </w:rPr>
            </w:pPr>
            <w:r>
              <w:rPr>
                <w:rFonts w:ascii="Times New Roman" w:cs="Times New Roman" w:eastAsia="Times New Roman" w:hAnsi="Times New Roman"/>
                <w:sz w:val="14"/>
                <w:szCs w:val="14"/>
                <w:b w:val="1"/>
                <w:bCs w:val="1"/>
                <w:color w:val="auto"/>
              </w:rPr>
              <w:t>(818) 860-1352</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jc w:val="center"/>
              <w:ind w:left="1289"/>
              <w:spacing w:after="0"/>
              <w:rPr>
                <w:sz w:val="20"/>
                <w:szCs w:val="20"/>
                <w:color w:val="auto"/>
              </w:rPr>
            </w:pPr>
            <w:r>
              <w:rPr>
                <w:rFonts w:ascii="Times New Roman" w:cs="Times New Roman" w:eastAsia="Times New Roman" w:hAnsi="Times New Roman"/>
                <w:sz w:val="14"/>
                <w:szCs w:val="14"/>
                <w:b w:val="1"/>
                <w:bCs w:val="1"/>
                <w:color w:val="auto"/>
              </w:rPr>
              <w:t>Redwood City, CA 94063</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60" w:type="dxa"/>
            <w:vAlign w:val="bottom"/>
            <w:gridSpan w:val="2"/>
          </w:tcPr>
          <w:p>
            <w:pPr>
              <w:jc w:val="center"/>
              <w:ind w:right="106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393"/>
        </w:trPr>
        <w:tc>
          <w:tcPr>
            <w:tcW w:w="7500" w:type="dxa"/>
            <w:vAlign w:val="bottom"/>
            <w:gridSpan w:val="8"/>
          </w:tcPr>
          <w:p>
            <w:pPr>
              <w:jc w:val="center"/>
              <w:ind w:left="372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6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60" w:type="dxa"/>
            <w:vAlign w:val="bottom"/>
            <w:gridSpan w:val="5"/>
            <w:shd w:val="clear" w:color="auto" w:fill="CCEEFF"/>
          </w:tcPr>
          <w:p>
            <w:pPr>
              <w:jc w:val="center"/>
              <w:ind w:right="689"/>
              <w:spacing w:after="0"/>
              <w:rPr>
                <w:sz w:val="20"/>
                <w:szCs w:val="20"/>
                <w:color w:val="auto"/>
              </w:rPr>
            </w:pPr>
            <w:r>
              <w:rPr>
                <w:rFonts w:ascii="Times New Roman" w:cs="Times New Roman" w:eastAsia="Times New Roman" w:hAnsi="Times New Roman"/>
                <w:sz w:val="14"/>
                <w:szCs w:val="14"/>
                <w:color w:val="auto"/>
              </w:rPr>
              <w:t>SERV</w:t>
            </w:r>
          </w:p>
        </w:tc>
        <w:tc>
          <w:tcPr>
            <w:tcW w:w="3780" w:type="dxa"/>
            <w:vAlign w:val="bottom"/>
            <w:shd w:val="clear" w:color="auto" w:fill="CCEEFF"/>
          </w:tcPr>
          <w:p>
            <w:pPr>
              <w:jc w:val="center"/>
              <w:ind w:right="609"/>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p>
      <w:pPr>
        <w:spacing w:after="0" w:line="143" w:lineRule="exact"/>
        <w:rPr>
          <w:sz w:val="24"/>
          <w:szCs w:val="24"/>
          <w:color w:val="auto"/>
        </w:rPr>
      </w:pPr>
    </w:p>
    <w:p>
      <w:pPr>
        <w:ind w:right="3840"/>
        <w:spacing w:after="0" w:line="458"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2"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86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95"/>
              </w:rPr>
              <w:t>o</w:t>
            </w:r>
          </w:p>
        </w:tc>
      </w:tr>
      <w:tr>
        <w:trPr>
          <w:trHeight w:val="20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86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3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0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9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9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7"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on June 30, 2025, the last business day of its most recently completed second fiscal quarter, was $584.9 million based on the closing price of the registrant’s common stock as reported by The Nasdaq Capital Market on that date.</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10, 2026, the registrant had a total of 75,690,177 shares of its common stock, par value $0.0001 per share, issued and outstanding.</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no later than 120 days after the end of the registrant’s fiscal year ended December 31, 2025,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gridSpan w:val="13"/>
          </w:tcPr>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20" w:type="dxa"/>
            <w:vAlign w:val="bottom"/>
          </w:tcPr>
          <w:p>
            <w:pPr>
              <w:spacing w:after="0"/>
              <w:rPr>
                <w:sz w:val="16"/>
                <w:szCs w:val="16"/>
                <w:color w:val="auto"/>
              </w:rPr>
            </w:pPr>
          </w:p>
        </w:tc>
      </w:tr>
      <w:tr>
        <w:trPr>
          <w:trHeight w:val="341"/>
        </w:trPr>
        <w:tc>
          <w:tcPr>
            <w:tcW w:w="12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20" w:type="dxa"/>
            <w:vAlign w:val="bottom"/>
            <w:gridSpan w:val="9"/>
            <w:shd w:val="clear" w:color="auto" w:fill="CCEEFF"/>
          </w:tcPr>
          <w:p>
            <w:pPr>
              <w:jc w:val="center"/>
              <w:ind w:right="4400"/>
              <w:spacing w:after="0" w:line="138" w:lineRule="exact"/>
              <w:rPr>
                <w:sz w:val="20"/>
                <w:szCs w:val="20"/>
                <w:color w:val="auto"/>
              </w:rPr>
            </w:pPr>
            <w:r>
              <w:rPr>
                <w:rFonts w:ascii="Times New Roman" w:cs="Times New Roman" w:eastAsia="Times New Roman" w:hAnsi="Times New Roman"/>
                <w:sz w:val="14"/>
                <w:szCs w:val="14"/>
                <w:color w:val="0000FF"/>
                <w:w w:val="95"/>
              </w:rPr>
              <w:t>PART 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49"/>
        </w:trPr>
        <w:tc>
          <w:tcPr>
            <w:tcW w:w="1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00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r>
      <w:tr>
        <w:trPr>
          <w:trHeight w:val="32"/>
        </w:trPr>
        <w:tc>
          <w:tcPr>
            <w:tcW w:w="126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9"/>
              </w:rPr>
              <w:t>Risk Factors</w:t>
            </w:r>
          </w:p>
        </w:tc>
        <w:tc>
          <w:tcPr>
            <w:tcW w:w="8280" w:type="dxa"/>
            <w:vAlign w:val="bottom"/>
            <w:gridSpan w:val="25"/>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1B.</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36</w:t>
            </w:r>
          </w:p>
        </w:tc>
      </w:tr>
      <w:tr>
        <w:trPr>
          <w:trHeight w:val="154"/>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top w:val="single" w:sz="8" w:color="0000FF"/>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tcBorders>
              <w:top w:val="single" w:sz="8" w:color="0000FF"/>
            </w:tcBorders>
            <w:gridSpan w:val="5"/>
          </w:tcPr>
          <w:p>
            <w:pPr>
              <w:spacing w:after="0"/>
              <w:rPr>
                <w:sz w:val="13"/>
                <w:szCs w:val="13"/>
                <w:color w:val="auto"/>
              </w:rPr>
            </w:pPr>
          </w:p>
        </w:tc>
        <w:tc>
          <w:tcPr>
            <w:tcW w:w="7400" w:type="dxa"/>
            <w:vAlign w:val="bottom"/>
            <w:tcBorders>
              <w:top w:val="single" w:sz="8" w:color="CCEEFF"/>
            </w:tcBorders>
            <w:gridSpan w:val="18"/>
          </w:tcPr>
          <w:p>
            <w:pPr>
              <w:spacing w:after="0"/>
              <w:rPr>
                <w:sz w:val="13"/>
                <w:szCs w:val="13"/>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36</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Properties</w:t>
            </w:r>
          </w:p>
        </w:tc>
        <w:tc>
          <w:tcPr>
            <w:tcW w:w="8420" w:type="dxa"/>
            <w:vAlign w:val="bottom"/>
            <w:tcBorders>
              <w:bottom w:val="single" w:sz="8" w:color="CCEEFF"/>
            </w:tcBorders>
            <w:gridSpan w:val="27"/>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37</w:t>
            </w:r>
          </w:p>
        </w:tc>
      </w:tr>
      <w:tr>
        <w:trPr>
          <w:trHeight w:val="149"/>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37</w:t>
            </w:r>
          </w:p>
        </w:tc>
      </w:tr>
      <w:tr>
        <w:trPr>
          <w:trHeight w:val="26"/>
        </w:trPr>
        <w:tc>
          <w:tcPr>
            <w:tcW w:w="12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37</w:t>
            </w: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8"/>
              </w:rPr>
              <w:t>PART II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900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38</w:t>
            </w:r>
          </w:p>
        </w:tc>
      </w:tr>
      <w:tr>
        <w:trPr>
          <w:trHeight w:val="149"/>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8"/>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26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40</w:t>
            </w:r>
          </w:p>
        </w:tc>
      </w:tr>
      <w:tr>
        <w:trPr>
          <w:trHeight w:val="26"/>
        </w:trPr>
        <w:tc>
          <w:tcPr>
            <w:tcW w:w="12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w:t>
            </w:r>
          </w:p>
        </w:tc>
        <w:tc>
          <w:tcPr>
            <w:tcW w:w="5020" w:type="dxa"/>
            <w:vAlign w:val="bottom"/>
            <w:tcBorders>
              <w:bottom w:val="single" w:sz="8" w:color="0000FF"/>
            </w:tcBorders>
            <w:gridSpan w:val="2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w:t>
            </w:r>
          </w:p>
        </w:tc>
        <w:tc>
          <w:tcPr>
            <w:tcW w:w="3980" w:type="dxa"/>
            <w:vAlign w:val="bottom"/>
            <w:tcBorders>
              <w:bottom w:val="single" w:sz="8" w:color="CCEEFF"/>
            </w:tcBorders>
            <w:gridSpan w:val="4"/>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40</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49</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8.</w:t>
            </w:r>
          </w:p>
        </w:tc>
        <w:tc>
          <w:tcPr>
            <w:tcW w:w="2620" w:type="dxa"/>
            <w:vAlign w:val="bottom"/>
            <w:tcBorders>
              <w:top w:val="single" w:sz="8" w:color="0000FF"/>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6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5620" w:type="dxa"/>
            <w:vAlign w:val="bottom"/>
            <w:tcBorders>
              <w:bottom w:val="single" w:sz="8" w:color="CCEEFF"/>
            </w:tcBorders>
            <w:gridSpan w:val="13"/>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2"/>
              </w:rPr>
              <w:t>F-1</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58</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368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3920" w:type="dxa"/>
            <w:vAlign w:val="bottom"/>
            <w:tcBorders>
              <w:bottom w:val="single" w:sz="8" w:color="CCEEFF"/>
            </w:tcBorders>
            <w:gridSpan w:val="3"/>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58</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7960" w:type="dxa"/>
            <w:vAlign w:val="bottom"/>
            <w:gridSpan w:val="22"/>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59</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9C.</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60</w:t>
            </w: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7"/>
              </w:rPr>
              <w:t>PART III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3220" w:type="dxa"/>
            <w:vAlign w:val="bottom"/>
            <w:tcBorders>
              <w:bottom w:val="single" w:sz="8" w:color="0000FF"/>
            </w:tcBorders>
            <w:gridSpan w:val="1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780" w:type="dxa"/>
            <w:vAlign w:val="bottom"/>
            <w:tcBorders>
              <w:bottom w:val="single" w:sz="8" w:color="CCEEFF"/>
            </w:tcBorders>
            <w:gridSpan w:val="1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61</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w w:val="99"/>
              </w:rPr>
              <w:t>Executive Compensation</w:t>
            </w:r>
          </w:p>
        </w:tc>
        <w:tc>
          <w:tcPr>
            <w:tcW w:w="7580" w:type="dxa"/>
            <w:vAlign w:val="bottom"/>
            <w:gridSpan w:val="19"/>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61</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12.</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61</w:t>
            </w:r>
          </w:p>
        </w:tc>
      </w:tr>
      <w:tr>
        <w:trPr>
          <w:trHeight w:val="154"/>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13.</w:t>
            </w:r>
          </w:p>
        </w:tc>
        <w:tc>
          <w:tcPr>
            <w:tcW w:w="5720" w:type="dxa"/>
            <w:vAlign w:val="bottom"/>
            <w:tcBorders>
              <w:top w:val="single" w:sz="8" w:color="0000FF"/>
            </w:tcBorders>
            <w:gridSpan w:val="27"/>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280" w:type="dxa"/>
            <w:vAlign w:val="bottom"/>
            <w:tcBorders>
              <w:top w:val="single" w:sz="8" w:color="CCEEFF"/>
            </w:tcBorders>
            <w:gridSpan w:val="2"/>
          </w:tcPr>
          <w:p>
            <w:pPr>
              <w:spacing w:after="0"/>
              <w:rPr>
                <w:sz w:val="13"/>
                <w:szCs w:val="13"/>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61</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4720" w:type="dxa"/>
            <w:vAlign w:val="bottom"/>
            <w:gridSpan w:val="8"/>
            <w:shd w:val="clear" w:color="auto" w:fill="CCEEFF"/>
          </w:tcPr>
          <w:p>
            <w:pPr>
              <w:spacing w:after="0"/>
              <w:rPr>
                <w:sz w:val="14"/>
                <w:szCs w:val="14"/>
                <w:color w:val="auto"/>
              </w:rPr>
            </w:pP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61</w:t>
            </w:r>
          </w:p>
        </w:tc>
      </w:tr>
      <w:tr>
        <w:trPr>
          <w:trHeight w:val="212"/>
        </w:trPr>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6"/>
              </w:rPr>
              <w:t>PART IV</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2280" w:type="dxa"/>
            <w:vAlign w:val="bottom"/>
            <w:tcBorders>
              <w:bottom w:val="single" w:sz="8" w:color="0000FF"/>
            </w:tcBorders>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672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62</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16.</w:t>
            </w:r>
          </w:p>
        </w:tc>
        <w:tc>
          <w:tcPr>
            <w:tcW w:w="1220" w:type="dxa"/>
            <w:vAlign w:val="bottom"/>
            <w:tcBorders>
              <w:bottom w:val="single" w:sz="8" w:color="0000FF"/>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7780" w:type="dxa"/>
            <w:vAlign w:val="bottom"/>
            <w:gridSpan w:val="21"/>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62</w:t>
            </w:r>
          </w:p>
        </w:tc>
      </w:tr>
      <w:tr>
        <w:trPr>
          <w:trHeight w:val="166"/>
        </w:trPr>
        <w:tc>
          <w:tcPr>
            <w:tcW w:w="1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Exhibit Index</w:t>
            </w:r>
          </w:p>
        </w:tc>
        <w:tc>
          <w:tcPr>
            <w:tcW w:w="8220" w:type="dxa"/>
            <w:vAlign w:val="bottom"/>
            <w:tcBorders>
              <w:bottom w:val="single" w:sz="8" w:color="CCEEFF"/>
            </w:tcBorders>
            <w:gridSpan w:val="24"/>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63</w:t>
            </w:r>
          </w:p>
        </w:tc>
      </w:tr>
      <w:tr>
        <w:trPr>
          <w:trHeight w:val="149"/>
        </w:trPr>
        <w:tc>
          <w:tcPr>
            <w:tcW w:w="1260" w:type="dxa"/>
            <w:vAlign w:val="bottom"/>
          </w:tcPr>
          <w:p>
            <w:pPr>
              <w:spacing w:after="0"/>
              <w:rPr>
                <w:sz w:val="12"/>
                <w:szCs w:val="12"/>
                <w:color w:val="auto"/>
              </w:rPr>
            </w:pPr>
          </w:p>
        </w:tc>
        <w:tc>
          <w:tcPr>
            <w:tcW w:w="620" w:type="dxa"/>
            <w:vAlign w:val="bottom"/>
            <w:tcBorders>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8"/>
              </w:rPr>
              <w:t>Signatures</w:t>
            </w:r>
          </w:p>
        </w:tc>
        <w:tc>
          <w:tcPr>
            <w:tcW w:w="8380" w:type="dxa"/>
            <w:vAlign w:val="bottom"/>
            <w:gridSpan w:val="26"/>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65</w:t>
            </w: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spacing w:after="0" w:line="103" w:lineRule="exact"/>
        <w:rPr>
          <w:sz w:val="20"/>
          <w:szCs w:val="20"/>
          <w:color w:val="auto"/>
        </w:rPr>
      </w:pPr>
    </w:p>
    <w:p>
      <w:pPr>
        <w:ind w:left="700" w:hanging="250"/>
        <w:spacing w:after="0" w:line="271"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status as an early-stage company with minimal revenue, a history of losses, and a limited operating history, which may make it difficult to evaluate the future of our business and prospects;</w:t>
      </w:r>
    </w:p>
    <w:p>
      <w:pPr>
        <w:spacing w:after="0" w:line="92"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business strategy to expand our addressable market and effectively manage our growth;</w:t>
      </w:r>
    </w:p>
    <w:p>
      <w:pPr>
        <w:spacing w:after="0" w:line="136" w:lineRule="exact"/>
        <w:rPr>
          <w:rFonts w:ascii="Times New Roman" w:cs="Times New Roman" w:eastAsia="Times New Roman" w:hAnsi="Times New Roman"/>
          <w:sz w:val="14"/>
          <w:szCs w:val="14"/>
          <w:color w:val="auto"/>
        </w:rPr>
      </w:pPr>
    </w:p>
    <w:p>
      <w:pPr>
        <w:ind w:left="700" w:hanging="250"/>
        <w:spacing w:after="0" w:line="271"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artificial intelligence (“AI”) and machine learning technologies, which introduces new risks and uncertainties related to accuracy, bias, intellectual property, and regulatory scrutiny;</w:t>
      </w:r>
    </w:p>
    <w:p>
      <w:pPr>
        <w:spacing w:after="0" w:line="103"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portion of our revenue being concentrated with a small number of customers;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at a large scale efficiently and effectively;</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reliance on relationships with suppliers and service providers for the parts and components in our robots, as well as for the manufacture of our robots;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highly qualified personnel, including engineers, robotics experts, and machine learning specialists;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significant capital to fund our operations and growth, and the risk that financing may not be available when needed or on acceptable terms;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robots' reliance on sophisticated software technology that incorporates third-party components and networks to operate;</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defects, glitches, or malfunctions in our products that could compromise performance, lead to injury or property damage, and result in product recalls or product liability claims;</w:t>
      </w:r>
    </w:p>
    <w:p>
      <w:pPr>
        <w:spacing w:after="0" w:line="136" w:lineRule="exact"/>
        <w:rPr>
          <w:rFonts w:ascii="Times New Roman" w:cs="Times New Roman" w:eastAsia="Times New Roman" w:hAnsi="Times New Roman"/>
          <w:sz w:val="14"/>
          <w:szCs w:val="14"/>
          <w:color w:val="auto"/>
        </w:rPr>
      </w:pPr>
    </w:p>
    <w:p>
      <w:pPr>
        <w:ind w:left="700" w:hanging="250"/>
        <w:spacing w:after="0" w:line="271"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incidents arising from human supervision, connectivity issues, third-party software, or automation that could cause injury, trigger recalls, or result in uninsured product liability and warranty claims;</w:t>
      </w:r>
    </w:p>
    <w:p>
      <w:pPr>
        <w:spacing w:after="0" w:line="103"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accessibility concerns or failure to comply with disability access laws may result in claims, operational restrictions, or reputational harm;</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our supply chain to deliver certain key electrical components, such as semiconductors;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changes in interest rates, foreign currency exchange rates, and inflationary pressures that may increase our operating costs;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discretionary spending patterns in the areas in which we operate and in the economy at large;</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an industry subject to rapid technological change, where competitors may have or attain more resources and greater market recognition than we do;</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assumptions about the market demand, pricing, adoption rates, and sales cycle for our current and future products and services being inaccurate;</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maintain, and enforce our intellectual property rights;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claims of infringement of third-party intellectual property rights;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unproven nature of our video and LiDAR licensing model and our ability to generate recurring revenue at expected levels;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and other disruptions that could compromise our proprietary information and expose us to liability;</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to our operational systems, security systems, infrastructure, integrated software in our products, and data processed by us or third-party vendors;</w:t>
      </w:r>
    </w:p>
    <w:p>
      <w:pPr>
        <w:spacing w:after="0" w:line="136" w:lineRule="exact"/>
        <w:rPr>
          <w:rFonts w:ascii="Times New Roman" w:cs="Times New Roman" w:eastAsia="Times New Roman" w:hAnsi="Times New Roman"/>
          <w:sz w:val="14"/>
          <w:szCs w:val="14"/>
          <w:color w:val="auto"/>
        </w:rPr>
      </w:pPr>
    </w:p>
    <w:p>
      <w:pPr>
        <w:ind w:left="700" w:hanging="250"/>
        <w:spacing w:after="0" w:line="271"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laws, regulations, standards, policies, and contractual obligations related to privacy and data security, including the California Consumer Privacy Act (“CCPA”), the Illinois Biometric Information Privacy Act (“BIPA”), the General Data Protection Regulation (“GDPR”), and the Health Insurance Portability and Accountability Act of 1996 (“HIPAA”);</w:t>
      </w:r>
    </w:p>
    <w:p>
      <w:pPr>
        <w:spacing w:after="0" w:line="92"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internal use of AI, generative AI, and machine learning tools that may expose us to heightened cybersecurity risks;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imposed by the United States and other countries, as well as changing trade relations, regional and international conflicts, and political conditions;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emerging technologies like AI, machine learning, and generative AI requiring us to navigate an uncertain legal and regulatory landscape;</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privacy, data protection, and AI regulation that may restrict our ability to collect, process, and license video and LiDAR datasets;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evolving regulations around personal delivery devices, which could materially impact our business and growth prospects in new markets;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complex laws and regulations in multiple jurisdictions, including product safety, data privacy, healthcare, and environmental regulations;</w:t>
      </w:r>
    </w:p>
    <w:p>
      <w:pPr>
        <w:spacing w:after="0" w:line="13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and trading volume of our common stock may be volatile and could decline significantly;</w:t>
      </w:r>
    </w:p>
    <w:p>
      <w:pPr>
        <w:spacing w:after="0" w:line="136" w:lineRule="exact"/>
        <w:rPr>
          <w:rFonts w:ascii="Times New Roman" w:cs="Times New Roman" w:eastAsia="Times New Roman" w:hAnsi="Times New Roman"/>
          <w:sz w:val="14"/>
          <w:szCs w:val="14"/>
          <w:color w:val="auto"/>
        </w:rPr>
      </w:pPr>
    </w:p>
    <w:p>
      <w:pPr>
        <w:ind w:left="700" w:hanging="250"/>
        <w:spacing w:after="0" w:line="271"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develop and maintain proper and effective internal control over financial reporting, and the presence of material weaknesses that increase the risk of material misstatement of our consolidated financial statements; and</w:t>
      </w:r>
    </w:p>
    <w:p>
      <w:pPr>
        <w:spacing w:after="0" w:line="101"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risks and uncertainties, including those listed under </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under </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 xml:space="preserve">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forward-looking statements made in this Annual Report on Form 10-K speak only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ectPr>
          <w:pgSz w:w="11900" w:h="16838" w:orient="portrait"/>
          <w:cols w:equalWidth="0" w:num="1">
            <w:col w:w="11280"/>
          </w:cols>
          <w:pgMar w:left="300" w:top="125" w:right="319" w:bottom="41"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4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stated or the context otherwise indicates, all references to “Serve,” the “Company,” “we,” “our,” “us,” or similar terms refer to Serve Robotics Inc. together with its wholly-owned subsidiaries. Serve Operating Co. is our direct, wholly-owned subsidiary and holds all material assets and conducts all business activities and operations of Serve.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Glossary of Terms and Abbreviations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glossary of technical terms used in this Annual Report on Form 10-K:</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GPU — </w:t>
      </w:r>
      <w:r>
        <w:rPr>
          <w:rFonts w:ascii="Times New Roman" w:cs="Times New Roman" w:eastAsia="Times New Roman" w:hAnsi="Times New Roman"/>
          <w:sz w:val="14"/>
          <w:szCs w:val="14"/>
          <w:color w:val="auto"/>
        </w:rPr>
        <w:t>Graphical Processing Unit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LiDAR — </w:t>
      </w:r>
      <w:r>
        <w:rPr>
          <w:rFonts w:ascii="Times New Roman" w:cs="Times New Roman" w:eastAsia="Times New Roman" w:hAnsi="Times New Roman"/>
          <w:sz w:val="14"/>
          <w:szCs w:val="14"/>
          <w:color w:val="auto"/>
        </w:rPr>
        <w:t>A digital sensor for measuring distance to objects which uses the principle of radar, but uses light from a laser</w:t>
      </w:r>
    </w:p>
    <w:p>
      <w:pPr>
        <w:spacing w:after="0" w:line="157"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ODD — </w:t>
      </w:r>
      <w:r>
        <w:rPr>
          <w:rFonts w:ascii="Times New Roman" w:cs="Times New Roman" w:eastAsia="Times New Roman" w:hAnsi="Times New Roman"/>
          <w:sz w:val="14"/>
          <w:szCs w:val="14"/>
          <w:color w:val="auto"/>
        </w:rPr>
        <w:t>Operating Design Domain describes the specific operating conditions in which the automated driving system is designed to properly operate, including but not limited to roadway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types, speed range, and environmental conditions</w:t>
      </w:r>
    </w:p>
    <w:p>
      <w:pPr>
        <w:spacing w:after="0" w:line="88" w:lineRule="exact"/>
        <w:rPr>
          <w:sz w:val="20"/>
          <w:szCs w:val="20"/>
          <w:color w:val="auto"/>
        </w:rPr>
      </w:pPr>
    </w:p>
    <w:p>
      <w:pPr>
        <w:ind w:right="3460" w:firstLine="509"/>
        <w:spacing w:after="0" w:line="468" w:lineRule="auto"/>
        <w:rPr>
          <w:sz w:val="20"/>
          <w:szCs w:val="20"/>
          <w:color w:val="auto"/>
        </w:rPr>
      </w:pPr>
      <w:r>
        <w:rPr>
          <w:rFonts w:ascii="Times New Roman" w:cs="Times New Roman" w:eastAsia="Times New Roman" w:hAnsi="Times New Roman"/>
          <w:sz w:val="14"/>
          <w:szCs w:val="14"/>
          <w:b w:val="1"/>
          <w:bCs w:val="1"/>
          <w:color w:val="auto"/>
        </w:rPr>
        <w:t xml:space="preserve">Reverse Logistics — </w:t>
      </w:r>
      <w:r>
        <w:rPr>
          <w:rFonts w:ascii="Times New Roman" w:cs="Times New Roman" w:eastAsia="Times New Roman" w:hAnsi="Times New Roman"/>
          <w:sz w:val="14"/>
          <w:szCs w:val="14"/>
          <w:color w:val="auto"/>
        </w:rPr>
        <w:t>A type of supply chain management that moves goods from customers back to the sellers or manufacturers</w:t>
      </w:r>
      <w:r>
        <w:rPr>
          <w:rFonts w:ascii="Times New Roman" w:cs="Times New Roman" w:eastAsia="Times New Roman" w:hAnsi="Times New Roman"/>
          <w:sz w:val="14"/>
          <w:szCs w:val="14"/>
          <w:b w:val="1"/>
          <w:bCs w:val="1"/>
          <w:color w:val="auto"/>
        </w:rPr>
        <w:t xml:space="preserve"> Company Overview</w:t>
      </w:r>
    </w:p>
    <w:p>
      <w:pPr>
        <w:jc w:val="both"/>
        <w:spacing w:after="0" w:line="280" w:lineRule="auto"/>
        <w:rPr>
          <w:sz w:val="20"/>
          <w:szCs w:val="20"/>
          <w:color w:val="auto"/>
        </w:rPr>
      </w:pPr>
      <w:r>
        <w:rPr>
          <w:rFonts w:ascii="Times New Roman" w:cs="Times New Roman" w:eastAsia="Times New Roman" w:hAnsi="Times New Roman"/>
          <w:sz w:val="14"/>
          <w:szCs w:val="14"/>
          <w:color w:val="auto"/>
        </w:rPr>
        <w:t>We are engaged in developing technologies intended to enable sustainable, autonomous robotic solutions for public and commercial spaces. Our activities include the design, engineering, deployment, and operation of low-emission robotic systems built on our proprietary AI-enabled mobility platform. Our systems are designed to operate safely and efficiently in real world environments.</w:t>
      </w:r>
    </w:p>
    <w:p>
      <w:pPr>
        <w:spacing w:after="0" w:line="2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core technology originated in 2017 as a specialized project within Postmates Inc. (“Postmates”), an on-demand delivery company in the United States. Following the acquisition of Postmates by Uber Technologies, Inc. (“Uber”) in 2020, Uber’s leadership approved the contribution of the intellectual property and related assets associated with this project to our company in February 2021.</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Serve’s fleet consisted of over 2,000 sidewalk delivery robots. We maintain platform-level integrations with food delivery platforms, such as Uber Eats and DoorDash, that enable our robots to transmit real-time presence and status information and to receive delivery requests associated with customer orders placed on those platforms.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2026, subsequent to the period covered by this Annual Report on Form 10-K, we completed the acquisition of Diligent Robotics, Inc. (“Diligent”), a provider of AI-powered autonomous robot assistants for the healthcare industry. This acquisition extends our autonomy platform into indoor environments, initially into hospitals, and broadens our addressable market into healthcare and other commercial sectors. We expect to leverage Diligent’s technology alongside our existing platform to enhance product capabilities, accelerate deployment opportunities, and support scalable, recurring revenue growth through Diligent’s established commercial relationships with healthcare systems and institutions.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Tailwinds for Automation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technological innovations of the past few decades as well as increased adoption of online commerce and home delivery, last-mile delivery has remained costly. While an ever-growing share of consumers is shopping online and demanding faster deliveries, a number of factors have contributed to keeping last-mile costs high:</w:t>
      </w:r>
    </w:p>
    <w:p>
      <w:pPr>
        <w:spacing w:after="0" w:line="92" w:lineRule="exact"/>
        <w:rPr>
          <w:sz w:val="20"/>
          <w:szCs w:val="20"/>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shortages caused by the aging population have led to wage inflation;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on-demand delivery companies in many jurisdictions are facing regulatory pressures to classify gig workers as employees, which would in turn increase labor costs; and</w:t>
      </w:r>
    </w:p>
    <w:p>
      <w:pPr>
        <w:spacing w:after="0" w:line="157"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cities across the United States have introduced maximum limits on how much delivery platforms can charge restaurants and merchants, highlighting the need to lower underlying delivery costs.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Labor cost inflation and regulatory pressures serve as tailwinds that are expected to accelerate the adoption of automated robotic last-mile delivery. Similarly, the healthcare industry is experiencing significant labor shortages, particularly among nursing and clinical support staff, which has created demand for autonomous solutions that can perform routine logistical tasks and free clinical staff to focus on patient care. While labor costs typically increase over time, hardware and technology costs typically decrease. We expect the cost of cameras, GPU processors, electric motors, batteries, and advanced sensors such as LiDAR to continue to decrease, while mobile networks are expected to become faster and more reliable with higher bandwidth and geographic coverage, which we believe will lead to a downward trend in the cost of building and operating robots.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Robot Operations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robots start each day at a central depot located near their operating area. The fleet is monitored through mobile connectivity and video streaming by remote human supervisors who can assist robots when necessary, such as at intersection crossings or when robots are unable to navigate certain conditions. On less frequent occasions, if a robot requires physical assistance, such as when a robot is too low on battery to return home or if it has been damaged, a nearby team member is dispatched to repair or return the robot.</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Throughout the day, each robot receives a series of delivery orders from partnered merchants and delivery platforms. Upon acceptance of an order, the robot navigates to the pick-up location, waits outside, and notifies merchant staff, often through their existing delivery tablets or point-of-sale devices. Once the merchant staff load the package into the robot, it navigates to its drop-off destination. Upon arrival, customers meet the robot at the curb, unlock its cargo using their delivery app or on-screen instructions, and retrieve their package. At night, robots return to their central depot to be recharged, maintained, upgraded when necessary, and prepared for next morning’s deployment.</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Serve’s third-generation robots are designed to carry more goods, enable more deliveries, and further reduce the cost of delivery thanks to higher speeds and increased battery capacity. They can reach up to 11 miles per hour (18 kilometers per hour) and travel as far as 48 miles (77 kilometers) on a single charge. They also feature an expanded 15 gallon (61 liter) cargo bin that holds four large 16-inch pizzas. Their new drivetrain is equipped with suspension to drive smoother and faster while protecting food quality, and their improved water resistance expands the robots’ ability to maneuver confidently in a wider range of weather conditions.</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Importantly, these hardware and software enhancements support Serve’s commitment to safety on the sidewalk. In addition to market-leading safety capabilities, including fail-safe mechanical braking and autonomous collision avoidance, the third-generation robots feature enhanced emergency braking.</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Following our acquisition of Diligent in January 2026, we also operate Moxi robots in hospital environments to assist clinical staff with logistical tasks. Moxi robots operate throughout hospital facilities, navigating hallways, using elevators, accessing secured areas via badge readers, and entering patient care areas to deliver medications, lab samples, and lightweight equipment and supplies. Moxi robots operate autonomously within hospital environments, using onboard sensors and AI to navigate dynamic spaces.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of our robots are equipped with a number of security features designed to protect their cargo, data, and intellectual property from unauthorized access. The robots’ secure cargo compartment can only be unlocked through the delivery app’s interface or using a security code entered on the touch screen. Additionally, through the use of encrypted communication protocols and data storage as well as secure authentication methods, the data and software onboard each robot is protected from unauthorized access. All of our robots that operate outdoors are also equipped with redundant real-time location tracking systems as well as alarm and communication features to deter attempts at vandalism and enable quick recovery of assets in the unlikely event of theft.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Robotic Automation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automation decreases the cost of last-mile delivery and leads to increased adoption, we anticipate opportunities for impact over the long term, such as:</w:t>
      </w:r>
    </w:p>
    <w:p>
      <w:pPr>
        <w:spacing w:after="0" w:line="145" w:lineRule="exact"/>
        <w:rPr>
          <w:sz w:val="20"/>
          <w:szCs w:val="20"/>
          <w:color w:val="auto"/>
        </w:rPr>
      </w:pPr>
    </w:p>
    <w:p>
      <w:pPr>
        <w:ind w:left="760" w:hanging="246"/>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Reduced Greenhouse Gas Emissions</w:t>
      </w:r>
      <w:r>
        <w:rPr>
          <w:rFonts w:ascii="Times New Roman" w:cs="Times New Roman" w:eastAsia="Times New Roman" w:hAnsi="Times New Roman"/>
          <w:sz w:val="14"/>
          <w:szCs w:val="14"/>
          <w:color w:val="auto"/>
        </w:rPr>
        <w:t>: We believe the use of robots and drones will reduce overall emissions caused by the use of large vehicles for moving small packages.</w:t>
      </w:r>
    </w:p>
    <w:p>
      <w:pPr>
        <w:spacing w:after="0" w:line="146" w:lineRule="exact"/>
        <w:rPr>
          <w:rFonts w:ascii="Times New Roman" w:cs="Times New Roman" w:eastAsia="Times New Roman" w:hAnsi="Times New Roman"/>
          <w:sz w:val="14"/>
          <w:szCs w:val="14"/>
          <w:color w:val="auto"/>
        </w:rPr>
      </w:pPr>
    </w:p>
    <w:p>
      <w:pPr>
        <w:jc w:val="both"/>
        <w:ind w:left="760" w:hanging="246"/>
        <w:spacing w:after="0" w:line="271"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Lower Delivery Costs</w:t>
      </w:r>
      <w:r>
        <w:rPr>
          <w:rFonts w:ascii="Times New Roman" w:cs="Times New Roman" w:eastAsia="Times New Roman" w:hAnsi="Times New Roman"/>
          <w:sz w:val="14"/>
          <w:szCs w:val="14"/>
          <w:color w:val="auto"/>
        </w:rPr>
        <w:t>: While all automated delivery robots still require a certain amount of human involvement (e.g., loading and unloading, maintenance, remote supervision),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believe labor is leveraged more efficiently, resulting in more deliveries and tasks per unit of human effort. Just as automation has done in the past, we expect a continued reduction of delivery costs over time.</w:t>
      </w:r>
    </w:p>
    <w:p>
      <w:pPr>
        <w:spacing w:after="0" w:line="112"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Increased On-Demand Adoption</w:t>
      </w:r>
      <w:r>
        <w:rPr>
          <w:rFonts w:ascii="Times New Roman" w:cs="Times New Roman" w:eastAsia="Times New Roman" w:hAnsi="Times New Roman"/>
          <w:sz w:val="14"/>
          <w:szCs w:val="14"/>
          <w:color w:val="auto"/>
        </w:rPr>
        <w:t>: On-demand services are largely luxuries afforded by affluent consumers today. We believe reducing delivery costs could make home delivery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affordable to more people.</w:t>
      </w:r>
    </w:p>
    <w:p>
      <w:pPr>
        <w:spacing w:after="0" w:line="88"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Easier Reverse Logistics</w:t>
      </w:r>
      <w:r>
        <w:rPr>
          <w:rFonts w:ascii="Times New Roman" w:cs="Times New Roman" w:eastAsia="Times New Roman" w:hAnsi="Times New Roman"/>
          <w:sz w:val="14"/>
          <w:szCs w:val="14"/>
          <w:color w:val="auto"/>
        </w:rPr>
        <w:t>: We believe reducing the cost of last-mile transportation will also encourage increased adoption of reverse logistics applications (e.g., more convenient package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returns).</w:t>
      </w:r>
    </w:p>
    <w:p>
      <w:pPr>
        <w:spacing w:after="0" w:line="8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More Local Commerce</w:t>
      </w:r>
      <w:r>
        <w:rPr>
          <w:rFonts w:ascii="Times New Roman" w:cs="Times New Roman" w:eastAsia="Times New Roman" w:hAnsi="Times New Roman"/>
          <w:sz w:val="14"/>
          <w:szCs w:val="14"/>
          <w:color w:val="auto"/>
        </w:rPr>
        <w:t>: We believe that increased adoption of home delivery will result in more commerce for local businesses.</w:t>
      </w:r>
    </w:p>
    <w:p>
      <w:pPr>
        <w:spacing w:after="0" w:line="157" w:lineRule="exact"/>
        <w:rPr>
          <w:rFonts w:ascii="Times New Roman" w:cs="Times New Roman" w:eastAsia="Times New Roman" w:hAnsi="Times New Roman"/>
          <w:sz w:val="14"/>
          <w:szCs w:val="14"/>
          <w:color w:val="auto"/>
        </w:rPr>
      </w:pPr>
    </w:p>
    <w:p>
      <w:pPr>
        <w:jc w:val="both"/>
        <w:ind w:left="760" w:hanging="246"/>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Increased Local Jobs</w:t>
      </w:r>
      <w:r>
        <w:rPr>
          <w:rFonts w:ascii="Times New Roman" w:cs="Times New Roman" w:eastAsia="Times New Roman" w:hAnsi="Times New Roman"/>
          <w:sz w:val="14"/>
          <w:szCs w:val="14"/>
          <w:color w:val="auto"/>
        </w:rPr>
        <w:t>: We believe increased delivery and local commerce activities resulting from a reduction in delivery costs could lead to more local jobs, ranging from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staffing of local businesses, logistics operators who enable automated delivery networks to function, and human couriers who perform deliveries that automated services cannot perform.</w:t>
      </w:r>
    </w:p>
    <w:p>
      <w:pPr>
        <w:spacing w:after="0" w:line="88" w:lineRule="exact"/>
        <w:rPr>
          <w:rFonts w:ascii="Times New Roman" w:cs="Times New Roman" w:eastAsia="Times New Roman" w:hAnsi="Times New Roman"/>
          <w:sz w:val="14"/>
          <w:szCs w:val="14"/>
          <w:color w:val="auto"/>
        </w:rPr>
      </w:pPr>
    </w:p>
    <w:p>
      <w:pPr>
        <w:jc w:val="both"/>
        <w:ind w:left="760" w:hanging="246"/>
        <w:spacing w:after="0" w:line="282"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Higher Delivery Quality</w:t>
      </w:r>
      <w:r>
        <w:rPr>
          <w:rFonts w:ascii="Times New Roman" w:cs="Times New Roman" w:eastAsia="Times New Roman" w:hAnsi="Times New Roman"/>
          <w:sz w:val="14"/>
          <w:szCs w:val="14"/>
          <w:color w:val="auto"/>
        </w:rPr>
        <w:t>: Like most automated systems, robots are less prone to certain types of errors. For example, customers of food delivery platforms often experience missing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items, mistaken orders, and lost or missed deliveries. An increased reliance on robotic technology may reduce such errors, creating a better experience for customers and merchants alike.</w:t>
      </w:r>
    </w:p>
    <w:p>
      <w:pPr>
        <w:spacing w:after="0" w:line="268" w:lineRule="exact"/>
        <w:rPr>
          <w:rFonts w:ascii="Times New Roman" w:cs="Times New Roman" w:eastAsia="Times New Roman" w:hAnsi="Times New Roman"/>
          <w:sz w:val="14"/>
          <w:szCs w:val="14"/>
          <w:color w:val="auto"/>
        </w:rPr>
      </w:pPr>
    </w:p>
    <w:p>
      <w:pPr>
        <w:jc w:val="both"/>
        <w:ind w:left="760" w:hanging="246"/>
        <w:spacing w:after="0" w:line="265"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Safer Roads</w:t>
      </w:r>
      <w:r>
        <w:rPr>
          <w:rFonts w:ascii="Times New Roman" w:cs="Times New Roman" w:eastAsia="Times New Roman" w:hAnsi="Times New Roman"/>
          <w:sz w:val="14"/>
          <w:szCs w:val="14"/>
          <w:color w:val="auto"/>
        </w:rPr>
        <w:t>: According to a report by the Governors Highway Safety Administration (the “GHSA”) published in July 2025, there were 7,148 pedestrians killed in motor vehicle crashes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2024 in the United States and 1,166 cyclists killed in motor vehicle crashes in 2023. There are many factors that contribute to pedestrian and bicyclist fatalities and injuries as a result of motor vehicle accidents, including: speeding, distracted driving, drunk driving, and aggressive driving. Sidewalk delivery robots weigh significantly less and move at lower speeds than cars. We believe that replacing cars with sidewalk delivery robots could result in safer cities for pedestrians and cyclists.</w:t>
      </w:r>
    </w:p>
    <w:p>
      <w:pPr>
        <w:spacing w:after="0" w:line="116" w:lineRule="exact"/>
        <w:rPr>
          <w:rFonts w:ascii="Times New Roman" w:cs="Times New Roman" w:eastAsia="Times New Roman" w:hAnsi="Times New Roman"/>
          <w:sz w:val="14"/>
          <w:szCs w:val="14"/>
          <w:color w:val="auto"/>
        </w:rPr>
      </w:pPr>
    </w:p>
    <w:p>
      <w:pPr>
        <w:jc w:val="both"/>
        <w:ind w:left="760" w:hanging="246"/>
        <w:spacing w:after="0" w:line="265"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Improved Healthcare Efficiency and Patient Care</w:t>
      </w:r>
      <w:r>
        <w:rPr>
          <w:rFonts w:ascii="Times New Roman" w:cs="Times New Roman" w:eastAsia="Times New Roman" w:hAnsi="Times New Roman"/>
          <w:sz w:val="14"/>
          <w:szCs w:val="14"/>
          <w:color w:val="auto"/>
        </w:rPr>
        <w:t>: In healthcare settings, we believe robotic automation can address critical labor shortages by performing routine logistical tasks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transporting supplies, medications, lab samples, linens, and equipment. Nurses may spend a significant portion of their shifts on non-clinical tasks, including walking to retrieve supplies and making deliveries. By allowing clinical staff to focus on direct patient care rather than non-clinical logistics, we believe autonomous robots like Moxi can improve both operational efficiency and patient outcomes.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robotic technology has been developed based on the following key principles:</w:t>
      </w:r>
    </w:p>
    <w:p>
      <w:pPr>
        <w:spacing w:after="0" w:line="155" w:lineRule="exact"/>
        <w:rPr>
          <w:sz w:val="20"/>
          <w:szCs w:val="20"/>
          <w:color w:val="auto"/>
        </w:rPr>
      </w:pPr>
    </w:p>
    <w:p>
      <w:pPr>
        <w:jc w:val="both"/>
        <w:ind w:left="760" w:hanging="246"/>
        <w:spacing w:after="0" w:line="265"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Humans and Machines</w:t>
      </w:r>
      <w:r>
        <w:rPr>
          <w:rFonts w:ascii="Times New Roman" w:cs="Times New Roman" w:eastAsia="Times New Roman" w:hAnsi="Times New Roman"/>
          <w:sz w:val="14"/>
          <w:szCs w:val="14"/>
          <w:color w:val="auto"/>
        </w:rPr>
        <w:t>: We believe that the most effective way to quickly realize the benefits of AI and autonomy in our lives is by designing solutions that leverage both human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machine intelligence in ways that are collaborative and complementary.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p>
      <w:pPr>
        <w:spacing w:after="0" w:line="105" w:lineRule="exact"/>
        <w:rPr>
          <w:rFonts w:ascii="Times New Roman" w:cs="Times New Roman" w:eastAsia="Times New Roman" w:hAnsi="Times New Roman"/>
          <w:sz w:val="14"/>
          <w:szCs w:val="14"/>
          <w:color w:val="auto"/>
        </w:rPr>
      </w:pPr>
    </w:p>
    <w:p>
      <w:pPr>
        <w:ind w:left="760" w:hanging="246"/>
        <w:spacing w:after="0" w:line="290"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Labor-Optimized</w:t>
      </w:r>
      <w:r>
        <w:rPr>
          <w:rFonts w:ascii="Times New Roman" w:cs="Times New Roman" w:eastAsia="Times New Roman" w:hAnsi="Times New Roman"/>
          <w:sz w:val="14"/>
          <w:szCs w:val="14"/>
          <w:color w:val="auto"/>
        </w:rPr>
        <w:t>: We believe the cost of advanced sensors and hardware will continue to decrease over the coming years, and optimizing against such costs can be premature and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yield diminishing long-term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returns. Instead, we have continued to innovate by designing highly capable hardware and software solutions that optimize against the largest cost of delivery and logistics: labor.</w:t>
      </w:r>
    </w:p>
    <w:p>
      <w:pPr>
        <w:spacing w:after="0" w:line="155" w:lineRule="exact"/>
        <w:rPr>
          <w:sz w:val="20"/>
          <w:szCs w:val="20"/>
          <w:color w:val="auto"/>
        </w:rPr>
      </w:pPr>
    </w:p>
    <w:p>
      <w:pPr>
        <w:ind w:left="760" w:hanging="246"/>
        <w:spacing w:after="0" w:line="290"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Robots Among People</w:t>
      </w:r>
      <w:r>
        <w:rPr>
          <w:rFonts w:ascii="Times New Roman" w:cs="Times New Roman" w:eastAsia="Times New Roman" w:hAnsi="Times New Roman"/>
          <w:sz w:val="14"/>
          <w:szCs w:val="14"/>
          <w:color w:val="auto"/>
        </w:rPr>
        <w:t>: We believe that building world-class hardware, software, AI and autonomy for robots to share spaces with people positions us to build market value and create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lasting legacy.</w:t>
      </w:r>
    </w:p>
    <w:p>
      <w:pPr>
        <w:spacing w:after="0" w:line="8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Robotic Platform</w:t>
      </w:r>
      <w:r>
        <w:rPr>
          <w:rFonts w:ascii="Times New Roman" w:cs="Times New Roman" w:eastAsia="Times New Roman" w:hAnsi="Times New Roman"/>
          <w:sz w:val="14"/>
          <w:szCs w:val="14"/>
          <w:color w:val="auto"/>
        </w:rPr>
        <w:t>: Our mission is to build a superior robotic platform that can accelerate the adoption of robotic solutions beyond last-mile delivery.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key highlights of our approach to technology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Artificial Intelligence</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AI empowers Serve robots to navigate outdoor and indoor environments and interact with their environment safely and efficiently. We use the latest AI methodologies to design, train and deploy a host of models on Serve robots. Currently, our AI models are used to perform a variety of tasks, including identification of sidewalk surfaces, intersections, doorways, elevators, traffic signals, obstacles, pedestrians and vehicles, and projecting the trajectory of other dynamic agents.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Since we began development, we have continued to create AI models with new capabilities, while improving the performance of existing models. We expect to continue developing increasingly capable AI models to improve our robots’ performance and differentiate Serve from alternative products and solutions. In addition, we have completed various acquisitions of businesses engaged in the development of AI models with novel and differentiated capabilities, with the intention of further expanding and enhancing the Company’s portfolio of AI technologies, accelerating innovation, and supporting the integration of advanced capabilities across its products and services. As the broader field of AI advances, we expect to benefit from such advances by increasing the efficiency and effectiveness of our robots.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Level 4 Autonomy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2022, we announced the deployment of a new generation of sidewalk delivery robots capable of operating at Level 4 autonomy. Level 4 autonomous robots can operate without humans in the loop for periods of time while they are operating in their intended operating environments (also known as “ODDs”). Specifically, our robots are capable of driving autonomously in certain environments without a remote human supervisor having to oversee their movement. This capability makes it possible to operate our robots at lower cost than remotely operated robots used by our competitors, because it enables a single remote supervisor to oversee multiple deliveries simultaneously.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Safety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Achieving Level 4 autonomy requires our robots to uphold rigorous safety standards. Organizationally, we adhere to the four standard components of a Safety Management System: Safety Risk Management, Safety Assurance, Safety Promotion, and Safety Policy. Together these components support a high level of safety performance and enable continuous safety improvement.</w:t>
      </w:r>
    </w:p>
    <w:p>
      <w:pPr>
        <w:spacing w:after="0" w:line="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Operationally, each robot is equipped with robust onboard safety systems powered by Serve’s advanced sensors and AI capabilities. While highly trained remote supervisors are available to assist in specific, predefined situations, the robot is designed to operate safely and independently. This layered approach significantly reduces the likelihood of collisions, including during supervised operation.</w:t>
      </w:r>
    </w:p>
    <w:p>
      <w:pPr>
        <w:spacing w:after="0" w:line="2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Serve, we believe that robots that rely primarily on human oversight cannot achieve the highest levels of safety due to the potential for human error. As a result, we focus on advancing our technology through multiple layers of redundant onboard safety systems to enable safe and reliable operation without undue dependence on human intervention. These systems incorporate diverse sensor modalities, including active sensors (such as LiDAR and ultrasonics) and passive sensors (such as cameras), allowing our robots to navigate complex environments with a high degree of reliability.</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Serve also applies best-practice processes for the development of safety-critical systems, ensuring these processes are scalable across product design, manufacturing, and operations. Clearly defined requirements and verification methods allow us to deliver products and services that are demonstrably safe.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robots have a wide range of capabilities related to safety, such as:</w:t>
      </w:r>
    </w:p>
    <w:p>
      <w:pPr>
        <w:spacing w:after="0" w:line="155"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Automatic emergency braking</w:t>
      </w:r>
      <w:r>
        <w:rPr>
          <w:rFonts w:ascii="Times New Roman" w:cs="Times New Roman" w:eastAsia="Times New Roman" w:hAnsi="Times New Roman"/>
          <w:sz w:val="14"/>
          <w:szCs w:val="14"/>
          <w:color w:val="auto"/>
        </w:rPr>
        <w:t>: If a remote supervisor unintentionally places a robot at risk of collision, the robot is designed to automatically override the command and stop.</w:t>
      </w:r>
    </w:p>
    <w:p>
      <w:pPr>
        <w:spacing w:after="0" w:line="136" w:lineRule="exact"/>
        <w:rPr>
          <w:rFonts w:ascii="Times New Roman" w:cs="Times New Roman" w:eastAsia="Times New Roman" w:hAnsi="Times New Roman"/>
          <w:sz w:val="14"/>
          <w:szCs w:val="14"/>
          <w:color w:val="auto"/>
        </w:rPr>
      </w:pPr>
    </w:p>
    <w:p>
      <w:pPr>
        <w:ind w:left="760" w:hanging="246"/>
        <w:spacing w:after="0" w:line="289" w:lineRule="auto"/>
        <w:tabs>
          <w:tab w:leader="none" w:pos="75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Obstacle detection and avoidance</w:t>
      </w:r>
      <w:r>
        <w:rPr>
          <w:rFonts w:ascii="Times New Roman" w:cs="Times New Roman" w:eastAsia="Times New Roman" w:hAnsi="Times New Roman"/>
          <w:sz w:val="14"/>
          <w:szCs w:val="14"/>
          <w:color w:val="auto"/>
        </w:rPr>
        <w:t>: Our robots use multiple sensor modalities to detect and avoid obstacles in real time, including vehicles, pedestrians, furniture, medical equipment,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other dynamic objects in both outdoor and indoor environments.</w:t>
      </w:r>
    </w:p>
    <w:p>
      <w:pPr>
        <w:spacing w:after="0" w:line="131" w:lineRule="exact"/>
        <w:rPr>
          <w:rFonts w:ascii="Arial" w:cs="Arial" w:eastAsia="Arial" w:hAnsi="Arial"/>
          <w:sz w:val="14"/>
          <w:szCs w:val="14"/>
          <w:color w:val="auto"/>
        </w:rPr>
      </w:pPr>
    </w:p>
    <w:p>
      <w:pPr>
        <w:ind w:left="760" w:hanging="246"/>
        <w:spacing w:after="0" w:line="274"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Fail-safe mechanical braking</w:t>
      </w:r>
      <w:r>
        <w:rPr>
          <w:rFonts w:ascii="Times New Roman" w:cs="Times New Roman" w:eastAsia="Times New Roman" w:hAnsi="Times New Roman"/>
          <w:sz w:val="14"/>
          <w:szCs w:val="14"/>
          <w:color w:val="auto"/>
        </w:rPr>
        <w:t>: In the event of a power, electronic, or compute failure, robots are designed to automatically come to a complete stop using a mechanically designed fail-safe braking system. This provides an additional layer of protection beyond electronic braking alone.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Manufacturing</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robots are designed by Serve’s internal team of mechanical, electrical, and systems engineers to meet product requirements while optimizing for component availability and manufacturing scalability.</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Most components are widely commercially available or fabricated from raw materials using common manufacturing processes including machining, molding, stamping, and additive manufacturing from multiple sources. However, certain highly complex components are obtained from single or limited sources, and we may have to compete for access to such components against other participants in the robotics, consumer electronics, and automotive markets. These components can at times be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Corporation, Ouster, Inc., and other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14" w:lineRule="exact"/>
        <w:rPr>
          <w:sz w:val="20"/>
          <w:szCs w:val="20"/>
          <w:color w:val="auto"/>
        </w:rPr>
      </w:pPr>
    </w:p>
    <w:p>
      <w:pPr>
        <w:ind w:right="260"/>
        <w:spacing w:after="0" w:line="466" w:lineRule="auto"/>
        <w:rPr>
          <w:sz w:val="20"/>
          <w:szCs w:val="20"/>
          <w:color w:val="auto"/>
        </w:rPr>
      </w:pPr>
      <w:r>
        <w:rPr>
          <w:rFonts w:ascii="Times New Roman" w:cs="Times New Roman" w:eastAsia="Times New Roman" w:hAnsi="Times New Roman"/>
          <w:sz w:val="14"/>
          <w:szCs w:val="14"/>
          <w:color w:val="auto"/>
        </w:rPr>
        <w:t xml:space="preserve">Manufacturing and assembly of robots are performed by third-party contract manufacturers. We also engage a contract manufacturing firm for the production of various subassembly components. </w:t>
      </w:r>
      <w:r>
        <w:rPr>
          <w:rFonts w:ascii="Times New Roman" w:cs="Times New Roman" w:eastAsia="Times New Roman" w:hAnsi="Times New Roman"/>
          <w:sz w:val="14"/>
          <w:szCs w:val="14"/>
          <w:b w:val="1"/>
          <w:bCs w:val="1"/>
          <w:color w:val="auto"/>
        </w:rPr>
        <w:t>Business Strategy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After more than eight years of research and development investment in AI, autonomy, safety, and efficiency of our robots, we are in a leading position to partner with some of the world’s largest food delivery platforms, restaurants, retailers, healthcare systems, and convenience brands to augment their logistics and delivery capabilities with autonomous robotics solutions.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Through a series of commercial agreements with delivery partners, the Company has expanded its operational footprint and achieved a significant deployment milestone, with approximately 2,000 sidewalk delivery robots deployed across multiple geographic markets. These contractual relationships enable the Company to integrate its autonomous delivery solutions into partner platforms and support scaled commercial operations. We plan to continue growing our delivery operations and establish Serve as a global leader in automated last-mile delivery. We also intend to extend the applications of our autonomy platform beyond sidewalk delivery into complementary environments and verticals where autonomous navigation among people is required, such as indoor logistics and healthcare settings. Our growth will be facilitated by continued investment in our hardware, software and AI developments that increase the performance and efficiency of our fleet. Looking ahead, we plan to increase utilization of our robot fleet by advancing performance, safety, and user experience; broadening use cases and partnerships; and expanding integration with third-party platforms and services.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robots can perform other value-add tasks while in operation and capture additional revenues, such as out-of-home (“OOH”) branding. Similar to billboards and buses, brands are placing ads on Serve robots’ exteriors. Our robots are also utilized in experiential advertising initiatives, including one-time promotional events, brand activations, and appearances in film and other media. These engagements allow advertisers to leverage the visibility and novelty of our robotic platforms to enhance brand awareness and consumer engagement in real-world environments.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also engaging partners in software-based services that complement our core robotic operations, including recurring software licensing and data monetization. Alongside our strategic partners, we continue evaluating additional applications of the technology we have developed.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global market for autonomous robots is highly competitive, and we expect competitive conditions to intensify as a significant and increasing number of established companies and new entrants seek to enter or expand within this market. In addition, we face competition from traditional methods, including human couriers in last-mile delivery and manual logistics workflows in healthcare, as well as from other autonomous robotics providers.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Impact</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According to the International Energy Agency, passenger vehicles emitted 3.2 billion metric tons of CO2 in 2023. The Bureau of Transportation Statistics estimates that in 2023, 16.2% of car trips were taken for shopping and errands, which are activities that are particularly well-suited to robotic delivery. If half of all shopping trips could be completed by sidewalk delivery robots, the scaled deployment of robotic delivery could reduce global passenger car emissions attributable to such trips from approximately 259 megatons to less than 10 megatons per year. This is a reduction of over 96% as estimated by a study published in Transportation Research Part D: Transport and Environment (Volume 85, August 2020, 102443).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delivery robots are generally allowed to operate on most sidewalks by default. Over twenty-five states and a number of cities have put in place legal frameworks to explicitly permit the use of sidewalk delivery robots. The instances of cities welcoming sidewalk delivery robots exceed the examples in which their operations were banned. This positive regulatory momentum for sidewalk delivery robots may be due to a number of factors:</w:t>
      </w:r>
    </w:p>
    <w:p>
      <w:pPr>
        <w:spacing w:after="0" w:line="102" w:lineRule="exact"/>
        <w:rPr>
          <w:sz w:val="20"/>
          <w:szCs w:val="20"/>
          <w:color w:val="auto"/>
        </w:rPr>
      </w:pPr>
    </w:p>
    <w:p>
      <w:pPr>
        <w:jc w:val="both"/>
        <w:ind w:left="760" w:hanging="246"/>
        <w:spacing w:after="0" w:line="271"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Inherently Safer: </w:t>
      </w:r>
      <w:r>
        <w:rPr>
          <w:rFonts w:ascii="Times New Roman" w:cs="Times New Roman" w:eastAsia="Times New Roman" w:hAnsi="Times New Roman"/>
          <w:sz w:val="14"/>
          <w:szCs w:val="14"/>
          <w:color w:val="auto"/>
        </w:rPr>
        <w:t>Cars carry more kinetic energy than sidewalk delivery robots and therefore pose a significantly greater risk of serious injury or fatality. In the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alone, vehicle collisions result in approximately 40,000 deaths per year and injure thousands of additional pedestrians and cyclists. Replacing unnecessary car trips with robotic delivery can make cities safer for pedestrians and cyclists.</w:t>
      </w:r>
    </w:p>
    <w:p>
      <w:pPr>
        <w:spacing w:after="0" w:line="112"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Emissions: </w:t>
      </w:r>
      <w:r>
        <w:rPr>
          <w:rFonts w:ascii="Times New Roman" w:cs="Times New Roman" w:eastAsia="Times New Roman" w:hAnsi="Times New Roman"/>
          <w:sz w:val="14"/>
          <w:szCs w:val="14"/>
          <w:color w:val="auto"/>
        </w:rPr>
        <w:t>Many cities have established targets for reducing carbon emissions, and robots can help advance these environmental initiatives by offering a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sustainable delivery option that produces a fraction of the emissions associated with personal vehicles.</w:t>
      </w:r>
    </w:p>
    <w:p>
      <w:pPr>
        <w:spacing w:after="0" w:line="88"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Congestion: </w:t>
      </w:r>
      <w:r>
        <w:rPr>
          <w:rFonts w:ascii="Times New Roman" w:cs="Times New Roman" w:eastAsia="Times New Roman" w:hAnsi="Times New Roman"/>
          <w:sz w:val="14"/>
          <w:szCs w:val="14"/>
          <w:color w:val="auto"/>
        </w:rPr>
        <w:t>Deliveries often originate in high-traffic areas where restaurants and shops tend to be located. Shifting these trips from cars to robots can reduce traffic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congestion and ease parking challenges in urban areas.</w:t>
      </w:r>
    </w:p>
    <w:p>
      <w:pPr>
        <w:spacing w:after="0" w:line="88"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Delivery Cost for Local Merchants: </w:t>
      </w:r>
      <w:r>
        <w:rPr>
          <w:rFonts w:ascii="Times New Roman" w:cs="Times New Roman" w:eastAsia="Times New Roman" w:hAnsi="Times New Roman"/>
          <w:sz w:val="14"/>
          <w:szCs w:val="14"/>
          <w:color w:val="auto"/>
        </w:rPr>
        <w:t>Recently, a number of cities have implemented restrictions on how much delivery platforms can charge restaurants for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Robots can offer a lower-cost alternative, helping merchants remain competitive while lowering their overall delivery expenses.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are subject to various federal, state and local laws and regulations that govern aspects of our business operations. While costs associated with compliance with laws and regulations have increased as the number and scope of regulations have increased, the total costs incurred have not had, and are not currently expected to have, a material effect on our capital expenditures, results of operations or competitive position. See </w:t>
      </w:r>
      <w:r>
        <w:rPr>
          <w:rFonts w:ascii="Times New Roman" w:cs="Times New Roman" w:eastAsia="Times New Roman" w:hAnsi="Times New Roman"/>
          <w:sz w:val="14"/>
          <w:szCs w:val="14"/>
          <w:i w:val="1"/>
          <w:iCs w:val="1"/>
          <w:color w:val="auto"/>
        </w:rPr>
        <w:t>Part I, Item 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discussion of risks relating to federal, state, local and international laws and regulations applicable to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success and ability to compete are significantly dependent on our core technology and intellectual property. As of December 31, 2025, we had 62 active patent matters in various jurisdictions: Australia (1 patent), Canada (6 patents), China (2 patents), the European Patent Office (3 patents), Japan (2 patents), the Republic of Korea (2 patents), the United States (44 patents) and the World Intellectual Property Organization (2 patents). As of December 31, 2025, we have been granted 36 of the 62 patents for which we have applied — 4 in Canada, 1 in China, 2 in the European Patent Office and 29 in the United States. Our granted patents will expire between May 2029 and June 2042, assuming that all maintenance fees are paid, no portion of the patent has been terminally disclaimed and the patent has not been invalidated. In certain jurisdictions, and in certain circumstances, patent terms can be extended or shortened.</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for our technology.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Despite our best efforts, our means of protecting our proprietary rights may be inadequate. It is possible that our current patents, or patents we may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may harm or altogether preclude our ability to do business. Moreover, unauthorized parties and our competitors may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strongly believe 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2025, we employed a total of 370 full-time and 10 part-time employees globally, of which 359 employees were based in the United States, and 21 employees were based in Canada through our wholly-owned Canadian subsidiary. By primary job function, approximately 38% of our employees have engineering or product roles, 49% are in operations, and 13% have business development or other administrative roles. None of our employees are represented by a labor union or covered by a collective bargaining agreement. We consider our relationship with our employees to be in good 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Competitive Pay and Benefits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provide compensation and benefits packages that we believe are competitive within our industry. We use a combination of cash and equity compensation, and other benefits to attract, motivate and retain our employees, including equity awards, retirement programs, flexible or paid time off based on department, and health and wellness benefits. In addition, we benchmark our compensation and benefits packages periodically to remain competitive with our peers and attract and support our talent acquisition and retention efforts.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Recruitment, Retention, and Development</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corporate culture, competitive compensation and benefits programs, and career growth and development opportunities promote employee tenure and retention and reduce employee turnover. We have maintained high employee retention since becoming an independent company in 2021 and continue to monitor employee turnover rates closely, as our success depends on retaining and investing in our highly skilled technical staff.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committed to fostering a diverse, equitable, and inclusive workplace. We believe that an inclusive environment, that recognizes and values the unique backgrounds, experiences, and perspectives of our employees, enhances our organizational effectiveness. Accordingly, we seek to cultivate a culture in which all employees are empowered to contribute meaningfully to the Company’s success.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Safety, Health, and Wellness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prioritize the safety, health, and well-being of our employees. We are committed to an injury-free workplace and provide comprehensive workplace training and support to reduce or eliminate health and safety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public company, and our Annual Reports on Form 10-K, Quarterly Reports on Form 10-Q, Current Reports on Form 8-K and any amendments to such reports are filed with the Securities and Exchange Commission (the “SEC"). We are subject to the informational requirements of the Exchange Act and file or furnish reports, proxy statements, and other information with the SEC. Such reports and other information filed by us with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 Our website is www.serverobotics.com, and we can be contacted at investor.relations@serverobotics.com.</w:t>
      </w:r>
    </w:p>
    <w:p>
      <w:pPr>
        <w:spacing w:after="0" w:line="122" w:lineRule="exact"/>
        <w:rPr>
          <w:sz w:val="20"/>
          <w:szCs w:val="20"/>
          <w:color w:val="auto"/>
        </w:rPr>
      </w:pPr>
    </w:p>
    <w:p>
      <w:pPr>
        <w:ind w:right="640"/>
        <w:spacing w:after="0" w:line="457" w:lineRule="auto"/>
        <w:rPr>
          <w:sz w:val="20"/>
          <w:szCs w:val="20"/>
          <w:color w:val="auto"/>
        </w:rPr>
      </w:pPr>
      <w:r>
        <w:rPr>
          <w:rFonts w:ascii="Times New Roman" w:cs="Times New Roman" w:eastAsia="Times New Roman" w:hAnsi="Times New Roman"/>
          <w:sz w:val="14"/>
          <w:szCs w:val="14"/>
          <w:color w:val="auto"/>
        </w:rPr>
        <w:t xml:space="preserve">The contents of the websites referred to above are not incorporated into this filing. Further, our references to the URLs for these websites are intended to be inactive textual references only. </w:t>
      </w:r>
      <w:r>
        <w:rPr>
          <w:rFonts w:ascii="Times New Roman" w:cs="Times New Roman" w:eastAsia="Times New Roman" w:hAnsi="Times New Roman"/>
          <w:sz w:val="14"/>
          <w:szCs w:val="14"/>
          <w:b w:val="1"/>
          <w:bCs w:val="1"/>
          <w:color w:val="auto"/>
        </w:rPr>
        <w:t>Item 1A. Risk Factors</w:t>
      </w: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Investment in our stock involves a high degree of risk. You should consider carefully the risks described below, together with other information in this Annual Report on Form 10-K and our other filings with the SEC, before making investment decisions regarding our stock. If any of the following risks and uncertainties, or if any other risks and uncertainties, actually occurs, our business, financial condition, or operating results could differ materially from the plans, projections, and other forward-looking statements included in Part II, Item 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 Moreover, the risks described below are not the only ones that we face. Additional risks not presently known to us or that we currently deem immaterial may also affect our business, operating results, prospects or financial condition.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Operations</w:t>
      </w:r>
    </w:p>
    <w:p>
      <w:pPr>
        <w:spacing w:after="0" w:line="32" w:lineRule="exact"/>
        <w:rPr>
          <w:sz w:val="20"/>
          <w:szCs w:val="20"/>
          <w:color w:val="auto"/>
        </w:rPr>
      </w:pPr>
    </w:p>
    <w:p>
      <w:pPr>
        <w:ind w:left="520" w:hanging="260"/>
        <w:spacing w:after="0"/>
        <w:tabs>
          <w:tab w:leader="none" w:pos="516"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our status as an early-stage company with minimal revenue, a history of losses, and a limited operating history, which may make it difficult to evaluate the future of our business and prospects;</w:t>
      </w:r>
    </w:p>
    <w:p>
      <w:pPr>
        <w:spacing w:after="0" w:line="147" w:lineRule="exact"/>
        <w:rPr>
          <w:rFonts w:ascii="Arial" w:cs="Arial" w:eastAsia="Arial" w:hAnsi="Arial"/>
          <w:sz w:val="17"/>
          <w:szCs w:val="17"/>
          <w:color w:val="auto"/>
        </w:rPr>
      </w:pPr>
    </w:p>
    <w:p>
      <w:pPr>
        <w:ind w:left="500" w:hanging="240"/>
        <w:spacing w:after="0" w:line="23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execute our business strategy to expand our addressable market and effectively manage our growth;</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use of AI and machine learning technologies, which introduces new risks and uncertainties related to accuracy, bias, intellectual property, and regulatory scrutiny;</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significant portion of our revenue being concentrated with a small number of customers;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commercialize our products at a large scale efficiently and effectively;</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substantial reliance on relationships with suppliers and service providers for the parts and components in our robots, as well as for the manufacture of our robots;</w:t>
      </w:r>
    </w:p>
    <w:p>
      <w:pPr>
        <w:spacing w:after="0" w:line="8" w:lineRule="exact"/>
        <w:rPr>
          <w:rFonts w:ascii="Times New Roman" w:cs="Times New Roman" w:eastAsia="Times New Roman" w:hAnsi="Times New Roman"/>
          <w:sz w:val="17"/>
          <w:szCs w:val="17"/>
          <w:color w:val="auto"/>
        </w:rPr>
      </w:pPr>
    </w:p>
    <w:p>
      <w:pPr>
        <w:ind w:left="500" w:hanging="240"/>
        <w:spacing w:after="0" w:line="211"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attract and retain highly qualified personnel, including engineers, robotics experts, and machine learning specialists; and</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requirement for significant capital to fund our operations and growth, and the risk that financing may not be available when needed or on acceptable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Products and Technology</w:t>
      </w:r>
    </w:p>
    <w:p>
      <w:pPr>
        <w:spacing w:after="0" w:line="32" w:lineRule="exact"/>
        <w:rPr>
          <w:sz w:val="20"/>
          <w:szCs w:val="20"/>
          <w:color w:val="auto"/>
        </w:rPr>
      </w:pPr>
    </w:p>
    <w:p>
      <w:pPr>
        <w:ind w:left="5600" w:right="3760" w:hanging="5340"/>
        <w:spacing w:after="0" w:line="947" w:lineRule="auto"/>
        <w:tabs>
          <w:tab w:leader="none" w:pos="50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robots’ reliance on sophisticated software technology that incorporates third-party components and networks to operate;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potential defects, glitches, or malfunctions in our products that could compromise performance, lead to injury or property damage, and result in product recalls or product liability claims;</w:t>
      </w:r>
    </w:p>
    <w:p>
      <w:pPr>
        <w:spacing w:after="0" w:line="8" w:lineRule="exact"/>
        <w:rPr>
          <w:rFonts w:ascii="Times New Roman" w:cs="Times New Roman" w:eastAsia="Times New Roman" w:hAnsi="Times New Roman"/>
          <w:sz w:val="17"/>
          <w:szCs w:val="17"/>
          <w:color w:val="auto"/>
        </w:rPr>
      </w:pPr>
    </w:p>
    <w:p>
      <w:pPr>
        <w:ind w:left="520" w:hanging="260"/>
        <w:spacing w:after="0" w:line="224" w:lineRule="auto"/>
        <w:tabs>
          <w:tab w:leader="none" w:pos="5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safety incidents arising from human supervision, connectivity issues, third-party software, or automation that could cause injury, trigger recalls, or result in uninsured product liability and warranty claims;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accessibility concerns or failure to comply with disability access laws may result in claims, operational restrictions, or reputational harm; and</w:t>
      </w:r>
    </w:p>
    <w:p>
      <w:pPr>
        <w:spacing w:after="0" w:line="7" w:lineRule="exact"/>
        <w:rPr>
          <w:rFonts w:ascii="Times New Roman" w:cs="Times New Roman" w:eastAsia="Times New Roman" w:hAnsi="Times New Roman"/>
          <w:sz w:val="14"/>
          <w:szCs w:val="14"/>
          <w:color w:val="auto"/>
        </w:rPr>
      </w:pPr>
    </w:p>
    <w:p>
      <w:pPr>
        <w:ind w:left="500" w:hanging="240"/>
        <w:spacing w:after="0" w:line="234" w:lineRule="auto"/>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inability of our supply chain to deliver certain key electrical components, such as semiconductors.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Industry and External Environment</w:t>
      </w:r>
    </w:p>
    <w:p>
      <w:pPr>
        <w:spacing w:after="0" w:line="21"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unfavorable changes in interest rates, foreign currency exchange rates, and inflationary pressures that may increase our operating costs;</w:t>
      </w:r>
    </w:p>
    <w:p>
      <w:pPr>
        <w:spacing w:after="0" w:line="8" w:lineRule="exact"/>
        <w:rPr>
          <w:rFonts w:ascii="Times New Roman" w:cs="Times New Roman" w:eastAsia="Times New Roman" w:hAnsi="Times New Roman"/>
          <w:sz w:val="17"/>
          <w:szCs w:val="17"/>
          <w:color w:val="auto"/>
        </w:rPr>
      </w:pPr>
    </w:p>
    <w:p>
      <w:pPr>
        <w:ind w:left="500" w:hanging="240"/>
        <w:spacing w:after="0" w:line="211" w:lineRule="auto"/>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dependence on discretionary spending patterns in the areas in which we operate and in the economy at large;</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competition in an industry subject to rapid technological change, where competitors may have or attain more resources and greater market recognition than we do; and</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important assumptions about the market demand, pricing, adoption rates, and sales cycle for our current and future products and services being inaccurate.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Intellectual Property</w:t>
      </w:r>
    </w:p>
    <w:p>
      <w:pPr>
        <w:spacing w:after="0" w:line="21"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protect, maintain, and enforce our intellectual property rights;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potential claims of infringement of third-party intellectual property rights; and</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unproven nature of our video and LiDAR licensing model and our ability to generate recurring revenue at expected levels.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Cybersecurity and Privacy</w:t>
      </w:r>
    </w:p>
    <w:p>
      <w:pPr>
        <w:spacing w:after="0" w:line="21"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security breaches and other disruptions that could compromise our proprietary information and expose us to liability;</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cybersecurity risks to our operational systems, security systems, infrastructure, integrated software in our products, and data processed by us or third-party vendors;</w:t>
      </w:r>
    </w:p>
    <w:p>
      <w:pPr>
        <w:spacing w:after="0" w:line="8" w:lineRule="exact"/>
        <w:rPr>
          <w:rFonts w:ascii="Times New Roman" w:cs="Times New Roman" w:eastAsia="Times New Roman" w:hAnsi="Times New Roman"/>
          <w:sz w:val="17"/>
          <w:szCs w:val="17"/>
          <w:color w:val="auto"/>
        </w:rPr>
      </w:pPr>
    </w:p>
    <w:p>
      <w:pPr>
        <w:ind w:left="500" w:hanging="240"/>
        <w:spacing w:after="0" w:line="213" w:lineRule="auto"/>
        <w:tabs>
          <w:tab w:leader="none" w:pos="5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evolving laws, regulations, standards, policies, and contractual obligations related to privacy and data security, including the CCPA, BIPA, GDPR, and HIPAA; and</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internal use of AI, generative AI, and machine learning tools that may expose us to heightened cybersecurity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Regulatory Environment</w:t>
      </w:r>
    </w:p>
    <w:p>
      <w:pPr>
        <w:spacing w:after="0" w:line="10"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tariffs imposed by the United States and other countries, as well as changing trade relations, regional and international conflicts, and political conditions;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use of emerging technologies like AI, machine learning, and generative AI requiring us to navigate an uncertain legal and regulatory landscape;</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evolving privacy, data protection, and AI regulation that may restrict our ability to collect, process, and license video and LiDAR datasets;</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evolving regulations around personal delivery devices, which could materially impact our business and growth prospects in new markets; and</w:t>
      </w:r>
    </w:p>
    <w:p>
      <w:pPr>
        <w:spacing w:after="0" w:line="8" w:lineRule="exact"/>
        <w:rPr>
          <w:rFonts w:ascii="Times New Roman" w:cs="Times New Roman" w:eastAsia="Times New Roman" w:hAnsi="Times New Roman"/>
          <w:sz w:val="17"/>
          <w:szCs w:val="17"/>
          <w:color w:val="auto"/>
        </w:rPr>
      </w:pPr>
    </w:p>
    <w:p>
      <w:pPr>
        <w:ind w:left="500" w:hanging="240"/>
        <w:spacing w:after="0" w:line="224" w:lineRule="auto"/>
        <w:tabs>
          <w:tab w:leader="none" w:pos="5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compliance with complex laws and regulations in multiple jurisdictions, including product safety, data privacy, healthcare, and environmental regulations.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Common Stock</w:t>
      </w:r>
    </w:p>
    <w:p>
      <w:pPr>
        <w:spacing w:after="0" w:line="21"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market price and trading volume of our common stock may be volatile and could decline significantly; and</w:t>
      </w:r>
    </w:p>
    <w:p>
      <w:pPr>
        <w:spacing w:after="0" w:line="7" w:lineRule="exact"/>
        <w:rPr>
          <w:rFonts w:ascii="Times New Roman" w:cs="Times New Roman" w:eastAsia="Times New Roman" w:hAnsi="Times New Roman"/>
          <w:sz w:val="17"/>
          <w:szCs w:val="17"/>
          <w:color w:val="auto"/>
        </w:rPr>
      </w:pPr>
    </w:p>
    <w:p>
      <w:pPr>
        <w:ind w:left="520" w:hanging="260"/>
        <w:spacing w:after="0" w:line="230" w:lineRule="auto"/>
        <w:tabs>
          <w:tab w:leader="none" w:pos="5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obligation to develop and maintain proper and effective internal control over financial reporting, and the presence of material weaknesses that increase the risk of material misstatement of our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Operations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an early-stage company with minimal revenue, a history of losses, and a limited operating history, which may make it difficult to evaluate the future of our business and prospects, and we cannot assure you that we will be able to operate profitably.</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 limited operating history, which may make it difficult to evaluate the future of our business and prospects.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not been profitable to date, and we expect operating losses for the near future. During the years ended December 31, 2025 and 2024, we generated revenue of $2.7 million and $1.8 million, respectively, and incurred a net loss of $101.4 million and $39.2 million, respectively. Our losses are driven mainly by our investments in research and development costs, and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if our operations successfully expand. Our failure to become and remain profitable would depress our value and could impair our ability to raise capital, expand our business, diversify our product offerings, or even continue our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company with a limited operating history, it is difficult to accurately forecast our revenues and operating results, and these could fluctuate in the future due to a number of factors. These factors may include adverse changes in companies’ interests in our robotic and branding services, companies’ available dollars to invest in our services, general economic conditions, our ability to market our company to other companies, headcount and other operating costs, and general industry and regulatory conditions and requirements. Our operating results may fluctuate from year to year due to the factors listed above and others not listed, which may make it difficult to evaluate the future of our business and prospects. At times, these fluctuations may be significant and could impact our ability to operate our business. There can be no assurance that our efforts will be successful or that we will ultimately be able to attain profitability.</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execute our business strategy to expand our addressable market and effectively manage our growth, we may not be able to design, develop, manufacture, market and launch new generations of our robotic systems successfully, which could negatively impact our long-term growth prospects.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intend to invest significantly in order to expand our business. Any failure to manage our growth effectively could materially and adversely affect our business, prospects, financial condition and results of operations. We expect our expansion to include:</w:t>
      </w:r>
    </w:p>
    <w:p>
      <w:pPr>
        <w:spacing w:after="0" w:line="103" w:lineRule="exact"/>
        <w:rPr>
          <w:sz w:val="20"/>
          <w:szCs w:val="20"/>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management, engineering, and product teams;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recruiting individuals with the appropriate relevant experience;</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commercialization of new products and services;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forecasting production and revenue;</w:t>
      </w:r>
    </w:p>
    <w:p>
      <w:pPr>
        <w:spacing w:after="0" w:line="157"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relationships with one or more third-party design for manufacturing partners and third-party contract manufacturers and/or expanding our internal manufacturing capabilities;</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expenses and investments in anticipation of expanded operations;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out acquisitions and entering into collaborations, in-licensing arrangements, joint ventures, strategic alliances or partnerships;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and enhancing internal information technology, safety, and security systems;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demonstrations;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into new markets and geographies;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ODD into new environments;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new agreements with suppliers, manufacturers and service providers;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and enhancing administrative infrastructure, systems, and processes.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Growing our business is critical to our ability to continually invest in research and development, expand our manufacturing capacity, and commercialize new generations of our robots. A key part of this strategy is to leverage our robotic technology leadership and expand our addressable market into complementary and adjacent markets by investing in new technologies and geographies. Many of these markets are emerging or dynamic, and it is difficult to predict trends of these markets, including any potential growth. Moreover, we have a limited history of commercializing and selling our robots into these markets. This expansion strategy may require a significant investment of capital and human resources, disrupt our operations, and impose substantial demands on management time. If these markets do not develop as we anticipate, or if we are unable to commercialize, increase market awareness of, or gain adoption of our solutions within them, our ability to design, develop, manufacture, market, and launch new generations of our robots may be impaired and our business, financial performance, and long-term growth prospects could be adversely affected.</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acquired, and may in the future acquire, other companies, employee teams, or technologies, which could divert our management’s attention, result in additional indebtedness or dilution to our stockholders, or otherwise disrupt our operations and adversely affect our operating results.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acquired, and may in the future acquire, other companies, employee teams, or technologies to complement or expand our applications, enhance our technical capabilities, obtain personnel, or otherwise offer growth opportunities. The pursuit of acquisitions may divert the attention of management, disrupt ongoing business, and cause us to incur various expenses in identifying, investigating, and pursuing suitable acquisitions, whether or not they are consummated. These impacts may continue through integration activities.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Moreover, we may be unable to complete proposed transactions in a timely manner or at all, due to a failure to obtain any necessary funding to complete an acquisition in a timely manner or on favorable terms, the failure to obtain required regulatory or other approvals, litigation, or other disputes, which may obligate us to pay a termination fee.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may not achieve the anticipated benefits from an acquisition due to a number of factors, including:</w:t>
      </w:r>
    </w:p>
    <w:p>
      <w:pPr>
        <w:spacing w:after="0" w:line="157" w:lineRule="exact"/>
        <w:rPr>
          <w:sz w:val="20"/>
          <w:szCs w:val="20"/>
          <w:color w:val="auto"/>
        </w:rPr>
      </w:pPr>
    </w:p>
    <w:p>
      <w:pPr>
        <w:ind w:left="840" w:hanging="262"/>
        <w:spacing w:after="0" w:line="287" w:lineRule="auto"/>
        <w:tabs>
          <w:tab w:leader="none" w:pos="8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for suitable acquisition and strategic transaction targets, which could increase prices and adversely affect our ability to consummate deals on favorable or acceptable terms;</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transaction-related lawsuits or claims;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associated with managing a larger, more complex, combined company;</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integrating the technologies and operations, including compensation structures, existing contracts, and personnel of an acquired business;</w:t>
      </w:r>
    </w:p>
    <w:p>
      <w:pPr>
        <w:spacing w:after="0" w:line="146"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retaining, integrating, and motivating key employees or business partners of an acquired business, and difficulties retaining or motivating our existing key employees or business partners after an acquisition;</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retaining key customers or suppliers, as applicable, of an acquired business;</w:t>
      </w:r>
    </w:p>
    <w:p>
      <w:pPr>
        <w:spacing w:after="0" w:line="157"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integrating internal controls, procedures and policies and accounting, finance and forecasting practices of acquired businesses with our own, especially in the context of international businesses;</w:t>
      </w:r>
    </w:p>
    <w:p>
      <w:pPr>
        <w:spacing w:after="0" w:line="92"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relating to the structure of an investment, such as governance, accountability, operations, expense sharing and decision-making conflicts that may arise in the context of a joint venture or other majority ownership investments;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with integrating the brand identity of an acquired company with our own, as applicable;</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operating a geographically dispersed organization, including as a result of different time zones, languages, and cultural, political and business practices;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regulatory and compliance risks associated with non-U.S. jurisdictions and entry into new markets;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financial and management resources from existing operations or alternative acquisition or investment opportunities;</w:t>
      </w:r>
    </w:p>
    <w:p>
      <w:pPr>
        <w:spacing w:after="0" w:line="157" w:lineRule="exact"/>
        <w:rPr>
          <w:rFonts w:ascii="Times New Roman" w:cs="Times New Roman" w:eastAsia="Times New Roman" w:hAnsi="Times New Roman"/>
          <w:sz w:val="14"/>
          <w:szCs w:val="14"/>
          <w:color w:val="auto"/>
        </w:rPr>
      </w:pPr>
    </w:p>
    <w:p>
      <w:pPr>
        <w:jc w:val="both"/>
        <w:ind w:left="840" w:hanging="262"/>
        <w:spacing w:after="0" w:line="270"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identify the problems, liabilities, or other shortcomings or challenges of an investment or acquired business, technology, or asset, including issues related to intellectual property, regulatory compliance practices, litigation, security vulnerabilities, trust and safety practices, brand management, revenue recognition or other accounting practices, or employee or user issues;</w:t>
      </w:r>
    </w:p>
    <w:p>
      <w:pPr>
        <w:spacing w:after="0" w:line="103"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new laws or regulations that are adverse to an investment or acquired business, or impede our ability to achieve the expected benefits of such investments;</w:t>
      </w:r>
    </w:p>
    <w:p>
      <w:pPr>
        <w:spacing w:after="0" w:line="146"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or expanded licensing, permitting, and compliance obligations as we enter new markets or lines of business (including sector-specific, privacy and data security, AI, labor, tax, import/export, and foreign investment controls), which may require costly operational changes and ongoing compliance expenditures;</w:t>
      </w:r>
    </w:p>
    <w:p>
      <w:pPr>
        <w:spacing w:after="0" w:line="103"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challenges from antitrust or other regulatory authorities that may block, delay, or impose conditions (such as divestitures, ownership, or operational restrictions or other structural or behavioral remedies) on the completion of transactions or the integration of acquired businesses;</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acquired business or investment in new technologies, products, or services cannibalizing a portion of our existing business;</w:t>
      </w:r>
    </w:p>
    <w:p>
      <w:pPr>
        <w:spacing w:after="0" w:line="189" w:lineRule="exact"/>
        <w:rPr>
          <w:rFonts w:ascii="Times New Roman" w:cs="Times New Roman" w:eastAsia="Times New Roman" w:hAnsi="Times New Roman"/>
          <w:sz w:val="14"/>
          <w:szCs w:val="14"/>
          <w:color w:val="auto"/>
        </w:rPr>
      </w:pPr>
    </w:p>
    <w:p>
      <w:pPr>
        <w:ind w:left="840" w:hanging="262"/>
        <w:spacing w:after="0" w:line="271"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stock-based compensation issued or assumed in connection with an acquisition or strategic transaction, which could dilute existing stockholders, reduce earnings per share, and adversely affect our stock price and results of operations;</w:t>
      </w:r>
    </w:p>
    <w:p>
      <w:pPr>
        <w:spacing w:after="0" w:line="103"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associated with goodwill, long-lived assets, investments and other acquired intangible assets;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in new markets, products, or technologies;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integrating operations and assets of an acquired foreign entity with differences in language, culture, or country-specific currency and regulatory risks;</w:t>
      </w:r>
    </w:p>
    <w:p>
      <w:pPr>
        <w:spacing w:after="0" w:line="146" w:lineRule="exact"/>
        <w:rPr>
          <w:rFonts w:ascii="Times New Roman" w:cs="Times New Roman" w:eastAsia="Times New Roman" w:hAnsi="Times New Roman"/>
          <w:sz w:val="14"/>
          <w:szCs w:val="14"/>
          <w:color w:val="auto"/>
        </w:rPr>
      </w:pPr>
    </w:p>
    <w:p>
      <w:pPr>
        <w:jc w:val="both"/>
        <w:ind w:left="840" w:hanging="262"/>
        <w:spacing w:after="0" w:line="280"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obtain (or a material delay in obtaining) regulatory approvals necessary to complete transactions or to integrate operations, or potential remedies imposed by regulatory authorities as a condition to or following the completion of a transaction, which may include divestitures, ownership or operational restrictions or other structural or behavioral remedies;</w:t>
      </w:r>
    </w:p>
    <w:p>
      <w:pPr>
        <w:spacing w:after="0" w:line="271"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strategic acquisitions to perform as expected or to meet financial projections, which may be heightened due to recent macroeconomic events and market volatility;</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delays or deferrals of business decisions or shifts to competitors by third parties with whom we or an acquired business work as a result of an acquisition; and</w:t>
      </w:r>
    </w:p>
    <w:p>
      <w:pPr>
        <w:spacing w:after="0" w:line="146"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an acquisition, particularly if we are unable to achieve any expected benefits in our results of operations, or if the anticipated benefits are not realized as rapidly or to the extent anticipated or if the transaction costs are greater than expected.</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a significant portion of the purchase price of companies we acquire may be allocated to acquired goodwill and other indefinite-lived intangible assets, which must be assessed for impairment at least annually. In the future, if our acquisitions do not yield expected returns, we may be required to take charges to our operating results based on this impairment assessment process, which could adversely affect our operating results. Moreover, we may experience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 or unexpected changes in how we are required to account for our acquisitions pursuant to U.S. generally accepted accounting principles (“U.S. GAAP”), including arrangements that we may assume in an acquisition.</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Acquisitions could also result in use of substantial portions of our available cash, which may limit other potential uses of cash, and dilutive issuances of equity securities or the issuance of debt, which could adversely affect our operating results. If we finance acquisitions by issuing debt, we could face constraints related to the terms of and repayment obligation related to the incurrence of such indebtedness. In addition, if an acquired business fails to meet our expectations, our business, financial condition, and operating results may suffer.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AI and machine learning technologies introduces new risks and uncertainties.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operate in a highly competitive environment in which innovation is critical, and our future success depends on many factors, including our use of developing technologies. However, our use of new AI technologies introduces new risks and uncertainties. The development, adoption and use of AI technologies is still in the early stages and involves significant risks and uncertainties, which may expose us to legal, reputational, and financial harm. AI algorithms and training methodologies may be flawed and datasets may be overbroad, insufficient, or contain biased or inaccurate information. Additionally, rapid technological changes and competitive pressures may require significant ongoing investment to maintain effective and responsible AI capabilities. While we aim to develop and use AI responsibly and attempt to identify and mitigate ethical and legal issues presented by its use, we may be unsuccessful in identifying or resolving issues before they arise. The use of AI may give rise to risks related to harmful content, accuracy, bias, intellectual property infringement or misappropriation, defamation, privacy, cybersecurity and health and safety, among others, and also bring the possibility of new or enhanced governmental or regulatory scrutiny, litigation or other legal liability, or ethical concerns that could adversely affect our business, reputation or financial results.</w:t>
      </w:r>
    </w:p>
    <w:p>
      <w:pPr>
        <w:spacing w:after="0" w:line="3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develop AI solutions and services that meet our customers’ and our own internal needs, we may fail to realize the anticipated benefits of our investments in AI or lose our competitive advantage, which could adversely affect our business, financial condition and results of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success depends on our ability to differentiate our product and keep pace with emerging technologies. We are increasingly applying AI-based technologies to our robotics platforms and services and to our own internal operations. We have made significant investments in AI and are continuing to incur significant development and operational costs to develop and deploy our AI solutions and services for ourselves and for our customers. These investments may not generate the expected returns in the timeframe anticipated or at all, due to, among other things, rapid technological change, evolving and uncertain regulatory frameworks, restrictions on data use, privacy, security, and export controls, third-party licensing and IP risks related to data, models, and tools, potential bias, errors, or unpredictability in model outputs, and increased competition. If we fail to continue to develop AI solutions and services that meet our customers’ and our own internal needs, we may fail to realize the anticipated benefits of our investments in AI, which could adversely affect our business, financial condition and results of operations. Furthermore, failure to innovate or match the pace of AI advancements in our industry could put us at a competitive disadvantage.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choose to expand into international markets, we may be exposed to new and heightened risks.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Historically, we have generated our revenues from customers in the United States. As we expand our operations internationally as part of our long-term growth strategy, this expansion of our international operations will subject us to a variety of risks and challenges, including:</w:t>
      </w:r>
    </w:p>
    <w:p>
      <w:pPr>
        <w:spacing w:after="0" w:line="92" w:lineRule="exact"/>
        <w:rPr>
          <w:sz w:val="20"/>
          <w:szCs w:val="20"/>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customer service challenges associated with operating in different countries;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management travel, infrastructure and legal compliance costs associated with having multiple international operations;</w:t>
      </w:r>
    </w:p>
    <w:p>
      <w:pPr>
        <w:spacing w:after="0" w:line="157"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receiving payments from different geographies, including difficulties associated with currency fluctuations, payment cycles, transfer of funds or collecting accounts receivable, especially in emerging markets;</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economic or political conditions between each country or region;</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uncertainty around the world and adverse effects arising from economic interdependencies across countries and regions;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hanging="242"/>
        <w:spacing w:after="0"/>
        <w:tabs>
          <w:tab w:leader="none" w:pos="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around a potential reverse or renegotiation of international trade agreements and partnerships;</w:t>
      </w:r>
    </w:p>
    <w:p>
      <w:pPr>
        <w:spacing w:after="0" w:line="157"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foreign laws and regulations (including local regulations relating to sidewalks and other pedestrian utilized areas, privacy, security, and AI) and the risks and costs of non-compliance with such laws and regulations;</w:t>
      </w:r>
    </w:p>
    <w:p>
      <w:pPr>
        <w:spacing w:after="0" w:line="92"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hire, retain and train local employees and the ability to comply with foreign labor laws and local labor requirements, such as representations by an internal labor committee in France which is affiliated with an external trade union and the applicability of collective bargaining arrangements at the national level in certain European countries;</w:t>
      </w:r>
    </w:p>
    <w:p>
      <w:pPr>
        <w:spacing w:after="0" w:line="92"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for foreign operations, import and export control laws, tariffs, trade barriers, economic sanctions and other regulatory or contractual limitations on our ability to sell our software in certain foreign markets, and the risks and costs of non-compliance;</w:t>
      </w:r>
    </w:p>
    <w:p>
      <w:pPr>
        <w:spacing w:after="0" w:line="103"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 certain countries and practical difficulties and costs of enforcing rights abroad;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laws of numerous foreign taxing jurisdictions and overlapping of different tax regimes and digital tax imposed on our operations in foreign taxing jurisdictions.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independent contractors and business partners will comply with the formal policies we have and will implement, or applicable laws and regulations. Violations of laws or key control policies by our employees, independent contractors and channel partners could result in delays in revenue recognition, financial reporting misstatements, fines, penalties or the prohibition of the importation or exportation of our robots and services and could have a material adverse effect on our business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or legal proceedings could expose us to significant liabilities, occupy a considerable amount of our management’s time and attention, and damage our reputation.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such claims are successful.</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such litigation may require significant attention from management and could result in significant legal expenses, settlement costs or damage awards that could have a material impact on our business, results of operations and financial condition.</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has broad discretion in making strategic decisions to execute our growth plans, and there can be no assurance that our management’s decisions will result in successful achievement of our business objectives or will not have unintended consequences that negatively impact our growth prospects.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team will have broad discretion in making strategic decisions to execute our growth plans and may devote time and company resources to new or expanded solution offerings, potential acquisitions, prospective customers or other initiatives that may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as a group has limited experience operating a publicly traded company.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Given their limited experience in dealing with the increasingly complex laws governing public companies, they may need to devote more time to compliance activities, leaving less time to manage and grow our business. Complying with these obligations requires significant additional costs and resources, including implementing new systems and hiring experienced finance and legal personnel, and we may not have adequate personnel with the appropriate level of knowledge, experience and training in the accounting policies, practices or internal control over financial reporting required of public companies. Furthermore, deficiencies in our disclosures or controls could result in SEC inquiries, enforcement actions, shareholder litigation, or penalties.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directors may be engaged in a range of business activities that could result in conflicts of interest.</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be subject to various potential conflicts of interest because some of our officers and directors may be engaged in a range of business activities that could result in conflicts of interest.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from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attract and retain highly qualified personnel in the future could harm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an innovative technology company. We intend to continue hiring a significant number of additional personnel, including engineers, design, production and operations personnel and service technicians for our robotic systems and services. Because of the innovative nature of our technology, we may struggle to locate or attract qualified individuals for important positions, such as software engineers, robotics engineers, machine vision and machine learning experts and others, which could affect our ability to grow and expand our business. Competition for individuals with experience designing, producing and servicing robots and their software is intense, and we may also face strong competition for qualified individuals from numerous other companies, including other similarly situated technology companies, many of whom have greater financial and other resources than we do.</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operations and financial condition could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portion of our revenue is concentrated with a small number of customers.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significant portion of our revenue is concentrated with a limited number of customers. For the years ended December 31, 2025 and 2024, sales to the customers individually representing more than 10% of total revenues accounted for 55% and 91% of our total revenue, respectively. There are inherent risks whenever a large percentage of total revenues are concentrated with a limited number of customers. If any of these customers were to breach, cancel or amend our agreement, it may have an outsized effect on our revenue, cash on hand, and profitability. In addition, we may have an increased interest in accepting less favorable terms of any amendment as a result.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retain existing or attract future partnerships with merchants and consumers could have an effect on our revenue, revenue growth and margins, and our business, financial condition and results of operations could be adversely affected.</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projected revenue relies on our ability to maximize utilization of our robot fleet and our ability to cost-effectively grow our partnerships, including in new markets. Our sidewalk delivery robots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through our existing strategic partnerships driven by the continued improvement in our integration, high merchant participation and widespread product acceptance by users of the partnered food delivery platforms. We are in varying stages of integration with our strategic partners and therefore have not yet achieved desired levels of utilization with our partners. To achieve profitability, we will need to continue to improve our utilization targets with all strategic partners above current levels and maintain those levels with other partners as well. As this requires cooperation by third parties, there is no guarantee that it will be achieved within a specific timeframe.</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financial projections also anticipate generating revenues from brand sponsors who would pay to place their branding on our robots as a form of OOH branding. OOH branding on robots is a new phenomenon and as such, an unproven model. To date, for our limited number of robots, we have been able to run periodic OOH advertising campaigns with several brands in varying sectors including real estate, fashion and entertainment. OOH advertising represented 15% and 16% of our revenues for the years ended December 31, 2025 and 2024, respectively. In the future, if we are unable to realize these sales, our business model and go-to-market strategy will be jeopardized.</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revenue and other financial projections also include revenue generated through software services. These partnerships are typically short-term for the duration of the project or subscription. Partners have no obligation to renew their contracts or subscriptions after they expire, and these contracts and subscriptions may not be renewed on the same or more profitable terms. We may not be able to accurately predict future trends of our partnerships, and our project rates may decline or fluctuate because of several factors, including their satisfaction or dissatisfaction with our products and services, the prices of our services, the prices of the products and services offered by our competitors or reductions in partner spending levels.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limited experience commercializing our products at a large scale and may not be able to do so efficiently or effectively.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deploy, operate and scale our Moxi robots depends on hospital access, operational practices and financial health, which can change and may be outside our control.</w:t>
      </w:r>
    </w:p>
    <w:p>
      <w:pPr>
        <w:spacing w:after="0" w:line="159"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Our Moxi robots operate in hospital environments and are subject to a range of healthcare regulations and hospital-specific policies. Changes in hospital leadership, shifts in strategic priorities or evolving regulatory requirements, or the adoption of new internal policies or risk management procedures could restrict or prohibit the use of our robots and may impact our ability to maintain or expand our presence in existing facilities or enter new ones. Additionally, hospitals can face staffing constraints, cost pressures and liquidity challenges that may limit capital spending, delay purchases or interrupt operations, which could in turn reduce orders, delay deployments or reduce utilization of our robots in their facilities. Hospitals or regulators may also require modifications to, suspension of, or limitations on the use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equipment, which could disrupt or reduce our robot operations at customer sites. Any of these factors could negatively impact our ability to deploy, operate or scale our robots, and could adversely affect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b w:val="1"/>
          <w:bCs w:val="1"/>
          <w:i w:val="1"/>
          <w:iCs w:val="1"/>
          <w:color w:val="auto"/>
        </w:rPr>
        <w:t>We will require significant capital to fund our operations and growth, and financing may not be available when needed or on acceptable terms. Additionally, any equity or equity</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linked financing could dilute our stockholders, and any debt financing could impose restrictive covenants and increase our financial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6893560</wp:posOffset>
            </wp:positionH>
            <wp:positionV relativeFrom="paragraph">
              <wp:posOffset>-177800</wp:posOffset>
            </wp:positionV>
            <wp:extent cx="5588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will require significant capital to operate our business and fund our capital expenditures for the next several years. We will not be able to continue product development and our commercial deliveries, or scale our operations, if we cannot raise additional debt and/or equity financing.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Our future capital needs and other business reasons could require us to sell additional equity or debt securities or obtain a credit facility. Such financing might not be available to us in a timely manner or on terms that are acceptable, or at all, and there is no guarantee that such funds, if raised, would be sufficient. Furthermore, the sale of additional equity or equity-linked securities could dilute our existing stockholders. The incurrence of indebtedness would result in increased debt service obligations and could result in operating and financing covenants that would restrict our operations.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If we cannot raise additional funds when we need or want them, we may be forced to curtail or discontinue our operations or abandon our growth plans, which could adversely impact the Company, its business, development, financial condition, operating results or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Earnout or other contingent consideration from acquisitions may not be attained and could adversely affect our business, financial condition, results of operations and cash flows.</w:t>
      </w:r>
    </w:p>
    <w:p>
      <w:pPr>
        <w:spacing w:after="0" w:line="171"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In connection with acquisitions or other strategic transactions, we have, and may agree in the future, to pay earnout or other contingent consideration tied to the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closing performance of the acquired business or achievement of certain specified milestones, and there is no assurance such milestones will be attained. Failure to achieve earnout targets may reflect integration challenges, changes in market conditions, strategic or operational adjustments, or regulatory and compliance constraints encountered by the combined business. If earnout consideration is not earned or is disputed, we could face disagreements or litigation with sellers, incur additional costs to manage or resolve disputes, and divert management attention from ongoing operations. Conversely, if earnout milestones are achieved, we may be required to make additional cash payments or issue equity or other consideration, which could increase our expenses, reduce our cash, dilute our existing stockholders, or contribute to volatility in our results depending on the structure and accounting for such arrangements. Earnout consideration can also create misaligned incentives or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decision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making at acquired businesses and may complicate integration planning. Any of these events could adversely affect our business, financial condition, results of operations and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adequately control the costs associated with our operations.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robots rely on sophisticated software technology that may incorporate third-party components and networks to operate.</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robots may require certain third-party software and networks to function safely and effectively. As such, our future revenues and financial projections rely on our ability to maintain access to third-party components that are currently utilized to operate our fleet or may become necessary to operate our fleet in the future. There is a risk that these third-party components may become difficult or costly to replace.</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integration of new third-party components may require significant work and require substantial investment of our time and resources. Our use of additional or alternative third-party software would require us to enter into new license agreements with third parties, which may not be available on commercially reasonable terms or at all. Furthermore, performance degradation, including failure of integration, or lack of access to necessary third-party components could result in poor performance or even grounding of our entire fleet, which could adversely impact our ability to continue our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benefits to customers of our products could be supplanted by other technologies or solutions or competitors’ products that utilize similar technology to ours in a more effective way. We cannot be sure that alternative technologies or improvements to AI, industrial automation or other technologies, processes or industries will not match or exceed the benefits of our products or be more cost effective than our products. The development of any alternative technology that could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benefits of our products to customers and projected return on investment have not been substantiated through long-term trials or use.</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core products’ benefits to customers and projected return on investment have not been substantiated through long-term trials or use. We currently have a limited frame of reference by which to evaluate the performance of our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Defects, glitches, or malfunctions in our products could compromise the performance of our products, lead to injury or property damage, and result in product recalls or lower than expected return on investment for customers, each of which could adversely affect our results of operations, financial condition and our reputation.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design, manufacture and marketing of our products involve certain inherent risks, and our software or hardware may experience errors or performance problems in the future. Our products incorporate sophisticated computer software and hardware, both of which are subject to potential errors or failures, particularly when new features are introduced. Such issues, including manufacturing or design defects, glitches, malfunctions, connectivity issues between the central processing unit and peripheral vehicle subsystems, operator errors, unanticipated use of our robotic systems, or inadequate disclosure of risks relating to the use of our robots, among others, could compromise the performance of our products, lead to injury or property damage, and result in product recalls or lower than expected return on investment for customers.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 extensive testing of our robots, in some instances in collaboration with our customers, to ensure that any such issues can be identified and addressed in advance of commercial launch of the products. However, there can be no assurance that we will be able to identify all such issues or that, if identified, our efforts to address them will be effective in all cases. In addition, although we intend to be involved in material decisions in the supply chain and manufacturing process, given that we also rely on our partners to meet our quality standards, we may not always be aware of manufacturing defects that could occur at our third-party manufacturers.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Such adverse events could lead to unexpected failures in our products and could result, in certain cases, in the removal of our products from the market, which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2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our robots operate in public spaces, safety incidents arising from human supervision, connectivity issues, third-party software or automation could cause injury, trigger recalls or result in uninsured product liability and warranty claims that adversely affect our business.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ability to attract and retain customers (including merchants, platform partners and brand sponsors) is heavily dependent on our reputation for safety and reliability. Our safety track record has been instrumental in helping us attract and retain our existing customers. Because we operate in public spaces, the performance of our robots is highly visible and we must maintain the highest standards for public safety. For our sidewalk delivery robots, our operating procedures and automated systems are designed to ensure that they yield the right of way to vehicles, pedestrians or sidewalk and road users, as they are programmed to cross only at controlled intersections during a pedestrian “walk” signal and to slow down or stop if a pedestrian approaches the delivery robot from any direction. Our partners require timely reporting of any material safety incidents, and if they are not confident in our ability to maintain safe operations, our commercial relationships may be jeopardized.</w:t>
      </w:r>
    </w:p>
    <w:p>
      <w:pPr>
        <w:spacing w:after="0" w:line="2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date, we have not experienced material safety incidents, nor have our partners raised any concerns about our safety standards and track record. However, any actual or perceived public safety incidents, whether caused by human error, technical malfunction, or other factors, or any actual or perceived association with public health and safety incidents or regulatory inquiry, in the case of our Moxi robots, could put our commercial relationships and financial viability at risk. Any such occurrence could delay market acceptance of our products, damage our reputation, result in product recalls, increase service and warranty costs, lead to product liability claims and cause a loss of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Furthermore, the use of our robots, including our sidewalk delivery robots and Moxi robots, in public and commercial environments could result in bodily injury, property damage, or other harms, and we anticipate that as part of our ordinary course of business we may be subject to product liability and warranty claims alleging defects in the design or manufacture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 Our insurance coverage is subject to deductibles, exclusions, limits, and renewal risk and may not cover all damages in the event of a claim. Contractual indemnities from suppliers or manufacturing partners may be limited, disputed, or unenforceable. Any significant claim, recall, or adverse safety event could harm our reputation and materially adversely affect our business, results of operations and financial condition.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Accessibility concerns or failure to comply with disability access laws may result in claims, operational restrictions, or reputational harm.</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sidewalk delivery robots operate on public sidewalks in high-density urban environments across multiple U.S. markets. In these environments, our sidewalk delivery robots share pedestrian infrastructure with individuals with disabilities, including those who use wheelchairs, mobility devices, or canes. If our sidewalk delivery robots obstruct pathways or curb ramps, or otherwise impede access for individuals with disabilities, or if we fail to comply with applicable accessibility laws, we could face claims under the Americans with Disabilities Act, state accessibility laws, or local disability access ordinances, as well as negative publicity and increased regulatory scrutiny.</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our fleet of sidewalk delivery robots has grown, we have faced increased public attention regarding accessibility concerns. Incidents involving sidewalk delivery robots and individuals with disabilities have led some jurisdictions to ban or restrict sidewalk delivery operations.</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additional jurisdictions adopt similar restrictions, or if regulators in our current or target markets impose new accessibility requirements, revoke or decline to renew our permits, or terminate our pilot programs, our ability to maintain or expand operations could be materially adversely affected. We proactively engage with disability rights advocates and work with municipal regulators to address accessibility and safety concerns, but there can be no assurance these efforts will prevent adverse regulatory actions, permit denials, or operational restrictions.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claims, litigation, regulatory restrictions, or high-profile incidents involving our robots and individuals with disabilities could harm our reputation and materially adversely affect our business, financial condition, and results of operations.</w:t>
      </w:r>
    </w:p>
    <w:p>
      <w:pPr>
        <w:spacing w:after="0" w:line="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vehicles. If our customers resist or delay adoption of our robotic services, our business, prospects, financial condition and operating results will be materially and adversely affected.</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reliant on our relationships with suppliers and service providers for the parts and components in our robots, as well as for the manufacture of our robots, and disruptions or loss of these partners could delay production and harm our business.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future business depends in large part on our ability to execute our plans to design, develop, manufacture, market, deploy and service our robots on time. Our robots contain hundreds of components that are assembled by third-party manufacturing partners. Collaboration with third parties for the engineering, design, manufacturing and testing of robots is subject to risks related to operations outside our control. We could experience delays if our current or future partners cease doing business with us, miss agreed-upon timelines, experience capacity constraints or otherwise fail to deliver components or manufacture robots as expected, or experience outages, transitions, or other disruptions. Similarly, the expiration of agreements governing such arrangements or the transition of services between providers could lead to the loss of institutional knowledge or service disruptions.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For example, certain of our remote piloting services are currently provided by third-party vendors, including service centers outside of the United States. Services provided pursuant to arrangements with these third-party vendors could be disrupted due to events outside of their control such as power failures, cybersecurity incidents, internet traffic congestion or increased latency, natural disasters, or deterioration in their economic condition. Furthermore, we may experience potential disputes with partners, and we could be affected by adverse publicity related to our partners whether or not such publicity is related to their collaboration with us, any of which could adversely affect our relationships, brand or prospects. Our ability to successfully build a premium brand could also be adversely affected by perceptions about the quality of robots we produce with our manufacturing partners or of other robots they manufacture. Any such disputes could lead to a loss of these relationships.</w:t>
      </w:r>
    </w:p>
    <w:p>
      <w:pPr>
        <w:spacing w:after="0" w:line="2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have not experienced any material impacts of such disruptions to date, disruptions that result from our reliance on third parties as service providers or the loss of these relationships, whether for these reasons or others, could delay production and harm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Severe weather conditions and climate change could have a material adverse impact on our business by negatively impacting the operations of our robots.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robots are designed to operate in a range of environmental conditions commonly encountered in markets in which we operate. While earlier deployments focused on warm and dry climates, our current generation of robots is capable of operating in rain and snow, and we have launched and expect to continue launching in regions that experience such conditions.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these expanded capabilities, severe weather events and the effects of climate change, including extreme temperatures, heavy precipitation, flooding, or other adverse conditions, may exceed the operating limits of our robots or require us to temporarily suspend operations to ensure safety and reliability. While we intend to continue enhancing our robots’ environmental resilience with each new generation, there can be no assurance that these efforts will fully mitigate the risks posed by severe or extreme weather conditions, which could reduce our operating hours, increase maintenance costs, delay geographic expansion, or otherwise adversely affect our business.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3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highly complex components used to manufacture our robots are obtained from single or limited sources that we may have to compete for with other participants in the robotics, consumer electronics and automotive markets. Global supply chain problems directly impact our ability to obtain these components cost-effectively. If our supply chain fails to deliver products to us in sufficient quality or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any third-party manufacturing partners and suppliers may rely on complex machinery for the production, assembly, repair and maintenance of our robotic systems, which involves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may require repairs and spare parts to resume operations, which may not be available when needed. Unexpected malfunctions of these components may significantly affect the intended operational efficiency of such machinery.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these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 in the healthcare industry could have an adverse effect on our business, financial condition or results of operations.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healthcare industry has been consolidating, and organizations continue to consolidate purchasing decisions for many of our healthcare provider customers. As the healthcare industry consolidates, competition to provide products and services 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our products or services or make contractual payments over time. We expect that market demand, government regulation, third-party payer coverage and reimbursement policies, government contracting requirements, new entrants, technology and societal pressures will continue to change the worldwide healthcare industry, resulting in further consolidation, which may exert further downward pressure on prices of our Moxi robot and may have a material adverse impact on our business, financial condition or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cannot protect, maintain and enforce our intellectual property rights, our competitive position and business could be adversely affected.</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success, in large part, depends on our ability to protect and maintain the proprietary nature of our technology. We must prosecute and maintain our existing patents and obtain new patents. However, some of our proprietary information may not be patentable, and there can be no assurance that others will not utilize similar or superior solutions to compete with us. We cannot guarantee that we will develop proprietary products that are patentable, or that, if issued, any patent will give us a competitive advantage, or that such patent will not be challenged by third parties. The process of obtaining patents can be time consuming and offers no guarantee of success, as a patent may not be granted or may provide insufficient scope or strength to protect the intended intellectual property. We cannot guarantee that our means of protecting our proprietary rights will suffice or that others will not independently develop competitive technology or design around patents or other intellectual property rights issued to us. Any patents that we or our licensors have obtained or obtain in the future may be challenged, invalidated, or unenforceable. If necessary, we intend to initiate actions to protect our intellectual property, which will be costly and time consuming. If we are unable to adequately protect our intellectual property, we could lose valuable competitive advantages, and our business could suffer as a result.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of infringement of third-party intellectual property rights.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operating results may be adversely affected if third parties claim that our products infringed their patent, copyright, or other intellectual property rights. We cannot assure that our products do not, or will not in the future, infringe patents held by others. Although there have been no allegations made to this effect, we cannot be 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our video and LiDAR licensing model is new and operates within an evolving legal and commercial framework, we may be unable to generate recurring revenue at expected levels, which could impair our planned data licensing revenue stream.</w:t>
      </w:r>
    </w:p>
    <w:p>
      <w:pPr>
        <w:spacing w:after="0" w:line="70" w:lineRule="exact"/>
        <w:rPr>
          <w:sz w:val="20"/>
          <w:szCs w:val="20"/>
          <w:color w:val="auto"/>
        </w:rPr>
      </w:pPr>
    </w:p>
    <w:p>
      <w:pPr>
        <w:jc w:val="both"/>
        <w:spacing w:after="0" w:line="179" w:lineRule="exact"/>
        <w:rPr>
          <w:sz w:val="20"/>
          <w:szCs w:val="20"/>
          <w:color w:val="auto"/>
        </w:rPr>
      </w:pPr>
      <w:r>
        <w:rPr>
          <w:rFonts w:ascii="Times New Roman" w:cs="Times New Roman" w:eastAsia="Times New Roman" w:hAnsi="Times New Roman"/>
          <w:sz w:val="14"/>
          <w:szCs w:val="14"/>
          <w:color w:val="auto"/>
        </w:rPr>
        <w:t>We have limited experience with licensing our video and LiDAR data for use by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AI companies to train their models. Our ability to generate recurring and scalable revenue from this strategy is unproven. Demand for our datasets may be unpredictable and episodic, as model training needs can be irregular and may not translate into renewals. Pricing, usage rights, and volume commitments are still developing in this market, and counterparties with substantial purchasing power, including major technology companies and brokers, may exert pressure for lower prices, broader usage rights, exclusivity or other terms that may be less favorable to us. If we are unable to effectively market our datasets, secure repeat purchases, or expand usage with existing customers, or if counterparties shift to alternative sources of data, synthetic data, internally generated data, or open datasets, our growth and margins could be negatively impacted.</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data licensing model also depends on our continued ability to lawfully collect and distribute the video and LiDAR data we obtain through our robots. Changes in laws or interpretations could limit what we can capture or sell, require costly modifications to our collection and processing workflows or necessitate contractual restructuring. If we fail to obtain and maintain necessary rights and permissions, adhere to usage restrictions or adequately address data quality, traceability and safety concerns associated with model training, we could face customer disputes, termination rights, indemnification claims, reputational harm or regulatory inquiries, all of which could impair our planned data licensing revenue stream.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Cybersecurity and Privacy</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Security breaches and other disruptions could compromise our proprietary information and expose us to liability, including class action litigation and regulatory penalties, which would cause our business and reputation to suffer.</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implement reasonable administrative, technical, and physical safeguards for computer systems and networks to prevent unauthorized access to, and the dissemination of, our proprietary information.</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face internal and external physical and data security threats. For example, current, departing, or former employees or third parties could attempt to improperly use or access our facilities, robots, computer systems or networks to copy, obtain, or misappropriate our proprietary information or otherwise interrupt our business. Like others, we are also subject to significant operational and system or network disruptions from numerous causes, including environmental threats, utility outages, IP theft, facilities access issues, ransomware attacks, computer viruses, data loss, denial-of-service and other common cyber-attacks.</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business confidential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In addition, the costs related to cyber-attacks or other security threats or computer systems and our ability to timely recover disruptions to our business operations may not be fully insured or indemnified by others.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routinely implement improvements to our facilities, robot fleet, computer and network security safeguards, and we are devoting increasing resources to the security of our information technology systems. However, we cannot be sure that such system improvements will be sufficient to deter, prevent or limit the damage from any physical threat, future cyber-attack, network or operational disruptions. As a result, the occurrence of any of the events described above could result in the loss or theft of our intellectual property or client data and other sensitive information due to cybersecurity breaches, diversion of the management’s attention and other resources, or otherwise adversely affect our internal operations, reputation, financial results or stock price.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cybersecurity risks to our robot fleet, operational systems, security systems, infrastructure, integrated software in our products and data processed by us or third-party vendors.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We may be a target for attacks by state-sponsored actors and others designed to disrupt our operations or to attempt to gain access to our systems or data that is processed or maintained in our business. Additionally, we are subject to increased security risks due to many personnel and third-party partners working remotely, some of which are located outside of the United States.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(e) customer data that we process or that our third-party vendors or suppliers process on our behalf; or (f) to describe the cybersecurity and operational risks that are related to outsourced overseas hardware and electronics supply chain manufacturers. If any of the supply chain (parts) (manufacturers) have interruptions or cybersecurity deficiencies, that would also have a direct impact on our operations.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incidents. Such incidents could: materially disrupt our operational systems; result in loss of intellectual property, competitive advantage,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included products and services that utilize data connectivity to monitor performance and identify opportunities to enhance performance and for safety and cost-saving preventative maintenance, but these products and services cannot guarantee we have identified all performance, cost-savings and safety issues. The availability and effectiveness of these products and services depend on the continued operation of information technology and communications systems. Our systems are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implemented certain systems and processes that are designed to protect our data and systems, prevent data loss, and prevent other security breaches and security incidents, but these security measures cannot guarantee security. The IT, infrastructure, business processes and third-party service providers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consumers, partners, collaborators, or others, or result in claims, including class action litigation,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If consumer trust is affected due to safety or cybersecurity concerns, it could reduce the adoption or selected use of our services.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Unauthorized access to or misuse of the data we sell or license could expose us to liability and harm our business.</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If the video or LiDAR data we sell or license is accessed, used, or disclosed in an unauthorized manner due to a cybersecurity breach, third-party contractual non-compliance or inadvertent internal error or misconfiguration, insufficient contractual protections, misuse by third parties or other reasons, we could be subject to claims, including class action litigation, regulatory actions, or reputational harm. We rely on agreements with our customers and partners to protect the data we provide, but we cannot guarantee that these measures will be sufficient to prevent all unauthorized uses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disclosures. Any such incident could result in loss of customer trust, legal liability, and adverse effects on our business and results of operations.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evolving laws, regulations, standards, policies and contractual obligations related to privacy and security laws and regulations, and our actual or perceived failure to comply with such obligations could result in litigation, harm our reputation, subject us to significant fines and liability, or otherwise adversely affect our business, prospects, financial condition and operating results.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Compliance with applicable privacy and data security laws and regulations is a continuously evolving, rigorous and time-intensive process, and as such, we cannot guarantee full compliance with all privacy and data security laws and regulations applicable to us.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implementation standards and enforcement practices are likely to remain uncertain for the foreseeable future. We may not be able to monitor and react to all developments in a timely manner. As we expand our operations, we may be subject to the CCPA, BIPA, and other similar state privacy laws and regulations relating to privacy and data security may increase our compliance costs and potential liability.</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as our international presence expands, we may become subject to or face increasing obligations under laws and regulations in countries outside the United States, many of which, such as the GDPR and national laws supplementing the GDPR, as well as legislation substantially implementing the GDPR in the United Kingdom, are significantly more stringent than those currently enforced in the United States.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Aspects of our operations, including the operations of our Moxi robot, may create, receive, maintain, or transmit protected health information (“PHI”), causing us to be deemed a “business associate” under HIPAA, as amended by the Health Information Technology for Economic and Clinical Health Act (“HITECH”), and the implementing Privacy, Security, and Breach Notification Rules. In the United States, HIPAA imposes privacy, security, and breach notification obligations on covered entities and their business associates to limit the use and disclosure of individually identifiable health information without patient consent and to ensure the confidentiality, integrity, and availability of individually identifiable health information in electronic form. Entities that are found to be in violation of HIPAA, as a result of a breach of unsecured protected health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through settlement agreements. Further, in the case of a breach, litigation often ensues. Additionally, in the United States, whether or not HIPAA applies, according to the Federal Trade Commission (the “FTC”), violating consumers’ privacy rights or failing to take appropriate steps to keep consumers’ personal information secure may constitute unfair and/or deceptive acts or practices in violation of Section 5(a) of the FTC Act. Additionally, federal and state consumer protection laws are increasingly being applied by the FTC and states’ attorneys general to regulate the collection, use, storage, and disclosure of personal information, through websites or otherwise. There are also state general privacy laws and health data specific privacy laws that place limits on the use and disclosure of non-HIPAA consumer health data.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alleged use of our robots as elements in law enforcement surveillance efforts.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operate our Moxi robots in hospitals, we may face evolving and uncertain regulatory and compliance requirements that could restrict or delay deployments, increase costs and materially harm our business, financial condition and results of operations.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Moxi robots do not perform clinical functions or provide patient care; however, we operate within regulated healthcare environments and rely on access to hospitals, which subjects us to an evolving and uncertain regulatory landscape. Changes in laws, regulations, such as those governing infection control, workplace safety or the use of autonomous equipment, could increase compliance burdens or restrict our operations. For example, regulators could determine that certain features or use cases of our robots render them subject to medical device or other healthcare-specific regulation, triggering additional requirements related to design controls, quality systems, labeling, reporting or premarket clearance or approval. Separately, workplace safety, robotics, autonomous systems or other rules could impose constraints on how our robots are deployed, where they can operate, or the level of human oversight required. Hospitals may adopt or tighten internal policies, credentialing, and vendor risk management standards that are more restrictive than applicable law, which could delay or prevent deployments or require costly modifications. Failure to timely comply with existing or new requirements, or adverse findings in audits, inspections, or incident investigations, could lead to penalties, contractual remedies, loss of facility access, forced product changes, product holds, reputational harm or loss of revenue. Even the perception that our systems could be regulated more stringently may cause customers to defer purchasing decisions, extend sales cycles or demand pricing or indemnity concessions. Any of these outcomes could materially and adversely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internal use of AI, generative AI, and machine learning tools may expose us to heightened cybersecurity risks.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we expand our use of AI, generative AI, and machine learning tools in our day-to-day business activities, the associated cybersecurity risks are intensifying, increasing the potential for system vulnerabilities and exposure to malicious threats. Our use of AI, generative AI, and machine learning tools in our internal operations could expose us to cybersecurity-related costs and risks, including: (i) the potential introduction of new vulnerabilities or cybersecurity risks within our information technology systems; (ii) the potential inadvertent or unauthorized release of our confidential or proprietary information resulting from the use (whether or not authorized) of AI or machine learning tools by our employees, contractors, agents, representatives, vendors or customers;</w:t>
      </w:r>
    </w:p>
    <w:p>
      <w:pPr>
        <w:spacing w:after="0" w:line="1" w:lineRule="exact"/>
        <w:rPr>
          <w:sz w:val="20"/>
          <w:szCs w:val="20"/>
          <w:color w:val="auto"/>
        </w:rPr>
      </w:pPr>
    </w:p>
    <w:p>
      <w:pPr>
        <w:jc w:val="both"/>
        <w:ind w:firstLine="5"/>
        <w:spacing w:after="0" w:line="255" w:lineRule="auto"/>
        <w:tabs>
          <w:tab w:leader="none" w:pos="2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our intellectual property or our potential infringement of the intellectual property rights of third parties resulting from the use (whether or not authorized) of AI or machine learning tools in our operations; (iv) potential legal or reputational harms due to unauthorized exposure of sensitive data or unauthorized use of intellectual property resulting from the use of AI, generative AI, and machine learning tools; (v) potential compromise to safety if AI-related cybersecurity incidents affect our operational systems or result in decision-making based on biased, incorrect, or compromised AI models or information; and (vi) the increased difficulty in detecting, containing, or mitigating cyberattacks due to the rapid evolution and increased adoption of AI, generative AI, and machine learning tools by threat actors. While we aim to develop and use AI, generative AI, and machine learning tools responsibly and to proactively identify and mitigate cybersecurity issues presented by their use, we may be unsuccessful in identifying or resolving such issues before they arise. Any of these risks could have a materially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Industry and External Environment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changes in interest rates and foreign currency exchange rates may adversely affect our financial condition, liquidity and results of operations.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conditions could negatively impact our supply chain partners and the industry as a whole, which could materially decrease our profits and cash flow. For example, we have experienced increased costs in acquiring parts for our robots as a result of the global semiconductor industry facing shortages in supply as well as inflation and increased interest rates. If adverse macroeconomic conditions persist, including inflationary pressures, unfavorable changes in foreign currency exchange rates or further increases in interest rates, we and our supply chain partners may be forced to raise prices or incur additional costs, which could further impact our profitability and cash flow.</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discretionary spending patterns in the areas in which the restaurants on our partners’ platforms operate and in the economy at large. Economic downturns or other events (like widespread health/pandemic outbreaks) impacting the United States and global economy could materially adversely affect our results of operations.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high unemployment, pandemic events,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Inflationary pressures may increase our operating costs and adversely affect our business, financial condition and results of operations.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Inflation increases the cost of labor and materials needed to build and operate robots. For example, we have observed an increase in cost of labor for managing and maintaining robots in the field over the past several years. Over a longer time horizon, technological improvements may continue to reduce the cost of our key components such as sensors, batteries and computers; however, such reductions may not occur as quickly or as extensively as we expect, or at all. While we expect the unit cost of labor for operating robots to increase over time with inflation, robotic solutions leverage labor more efficiently than human labor. As such, we believe labor inflation increases the cost of human labor and similar alternatives to robots more than it increases the cost of robots, and that improvements in robot autonomy will continue to reduce the rate of labor usage over time. Nevertheless, our relative cost advantage could narrow if inflation accelerates, if component cost reductions slow, if wage growth outpaces productivity gains, or if improvements in robot autonomy do not reduce the rate of labor usage as anticipated. Any of these developments could require us to raise prices, accept lower margins, or both, which could reduce customer demand and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14" w:lineRule="exact"/>
        <w:rPr>
          <w:sz w:val="20"/>
          <w:szCs w:val="20"/>
          <w:color w:val="auto"/>
        </w:rPr>
      </w:pPr>
    </w:p>
    <w:p>
      <w:pPr>
        <w:ind w:left="820" w:hanging="242"/>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lack of security of information or privacy protection;</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disruptions, computer viruses or other damage to internet servers, users’ computers or mobile applications;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excessive governmental regulation; and</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unacceptable delays due to actual or perceived limitations of wireless networks.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developments could reduce online order volumes, increase customer acquisition costs or impair engagement, which could harm our growth prospects.</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products and services are disruptive, and important assumptions about the market demand, pricing, adoption rates and sales cycle, for our current and future products and services may be inaccurate.</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market demand for and adoption of our robots is unproven, and important assumptions about the characteristics of targeted markets, pricing and sales cycles may be inaccurate, including due to evolving regulatory and safety standards, or resistance by customer employees and labor unions, all of which are outside of our control, could cause delays or otherwise impair adoption of these new technologies, which may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If demand for our robots does not develop as expected or if we cannot accurately forecast pricing, adoption rates and sales cycle for our products, our business, results of operations and financial condition will be adversely affected.</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general economic conditions.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future performance will be subject to factors beyond our control, including general economic conditions and conditions in the robotics industry. Our business model depends on companies purchasing our robotic and branding services, and is thus dependent on national and international economic conditions. Uncertain economic conditions have created volatility in the United States.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natural disasters, health epidemics and other outbreaks, which could significantly disrupt our operations.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Regulatory Environment</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Tariffs imposed by the United States and other countries, as well as changing trade relations, regional and international conflicts, and political conditions could have a material adverse effect on our business and results of operations.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Changes in United States and foreign governments’ trade policies, as well as volatility caused by regional and international conflicts, and the political climate in the United States, have resulted in, and may continue to result in, tariffs on imports into and exports from the United States. Tariffs on certain products can increase our costs of doing business. If we are unable to recover these costs, our business may be adversely impacted. Diminished trade relations, conflicts between the United States and other countries, and any escalation of tariffs could have a material adverse effect on our financial performance and results of operations.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Use of emerging technologies like AI, machine learning and generative AI, will require us to navigate an uncertain legal and regulatory landscape, and failure to comply with these rapidly evolving laws and regulations may negatively impact our ability to grow our business.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continue to utilize and evaluate emerging technologies like AI, machine learning and generative AI for incorporation into our business. The domestic and international regulatory landscape surrounding these emerging technologies including AI, is rapidly evolving and uncertain, and may require us to incur significant costs to modify, maintain, or align our business practices, solutions and services to comply with domestic and foreign rules and regulations, the nature of which cannot be determined at this time and may be inconsistent from jurisdiction to jurisdiction.</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increasing divergence globally among AI regulations, which will require us to navigate a fragmented regulatory landscape, may impose significant requirements on how we design, build and deploy AI and handle non-personal data for ourselves or limit our ability to incorporate certain AI capabilities into our offerings. As we expand into new markets and scale deployments, we may be required to implement new governance controls, documentation, testing, monitoring, auditability, transparency, and human oversight measures, and to modify our models, datasets, and product designs to meet jurisdiction-specific requirements. This may negatively impact our ability to expand into new markets if we are unable to comply with their regulatory requirements. Violations of these laws or regulations may lead to reputational damage, financial penalties and increased regulatory scrutiny and oversight. This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Evolving privacy, data protection, and AI regulation may restrict our ability to collect, process, and license video and LiDAR datasets, increase our compliance costs or expose us to investigations, fines or litigation.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model includes collecting, processing, and licensing large-scale video and LiDAR datasets to third parties for model training. Global, federal, state, and local laws and regulations governing privacy, data protection, and AI technologies are rapidly evolving and, in some cases, unclear or inconsistent, including with respect to biometric identifiers, geolocation, in-vehicle or bystander recordings, profiling, and automated decision-making. Regulators may impose or expand requirements such as consent, notice, purpose limitation, data minimization, security safeguards, impact assessments, algorithmic transparency, and opt-out rights, as well as restrictions on cross-border data transfers and broker registration. Compliance may require significant changes to our data collection practices, technical infrastructure, and contractual frameworks, and may increase costs and delay product and licensing timelines. Any perceived or actual noncompliance by us or our vendors or customers could result in regulatory inquiries, enforcement actions, administrative orders, fines, data deletion or use restrictions, mandatory remediation, private litigation (including class actions), or suspension of our data licensing activities, any of which could adversely affect our reputation, operations and financial results.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have an adverse effect on our business operations.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federal, state and local laws and regulations in the United States as well as applicable laws and regulations in each foreign jurisdiction in which we do business. These laws and regulations govern, among other things, the design, manufacturing, marketing, distribution, servicing, or use of our products. A failure to comply with such regulations could lead to withdrawal or recall of our products from the market, delay our projected revenues, increase cost, or make our business unviable if we are unable to modify our products to comply.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Climate change laws, environmental regulations, and other similar measures may also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and domestic antitrust laws could significantly affect our ability to expand our business through acquisitions, joint ventures or other strategic transactions.</w:t>
      </w:r>
    </w:p>
    <w:p>
      <w:pPr>
        <w:spacing w:after="0" w:line="202"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Acquisitions and strategic investments as part of our growth strategy could subject us to enhanced scrutiny under U.S. and foreign antitrust and competition laws and foreign investment review regimes. Certain transactions may require premerger notification and clearance (including under the Hart-Scott-Rodino Antitrust Improvements Act in the United States) and reviews by other regulators, which can result in lengthy investigations, extensive information requests, operational restrictions, or injunctions that delay or prevent closing. Competition or foreign investment authorities may challenge a transaction or require commitments that limit how we integrate or operate the acquired business or otherwise diminish the strategic value of the transaction. Increasing scrutiny of acquisitions involving robotics, automation, AI, data, and other sensitive technologies may heighten the risk of extended reviews, mitigation agreements, or prohibition in certain jurisdictions. We could incur substantial costs, devote significant management time, and experience business disruption responding to these reviews and operating under hold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separate or other constraints. Failure to comply with premerger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185" w:lineRule="exact"/>
        <w:rPr>
          <w:sz w:val="20"/>
          <w:szCs w:val="20"/>
          <w:color w:val="auto"/>
        </w:rPr>
      </w:pPr>
      <w:r>
        <w:rPr>
          <w:rFonts w:ascii="Times New Roman" w:cs="Times New Roman" w:eastAsia="Times New Roman" w:hAnsi="Times New Roman"/>
          <w:sz w:val="14"/>
          <w:szCs w:val="14"/>
          <w:color w:val="auto"/>
        </w:rPr>
        <w:t>notification, “gun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jumping,” information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sharing, or interlocking directorate rules could result in significant fines and penalties and harm our reputation and ability to consummate current or future transactions. Even after closing, we may be subject to ongoing monitoring, consent decrees, or private litigation challenging our transactions. Any delay, prohibition, required remedy, or related enforcement action could adversely affect our business, financial condition, results of operations, and prospects.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domestic and foreign anti-corruption and anti-money laundering laws and regulations. We can face criminal liability and other serious consequences for violations, which can harm our business, prospects, financial condition and operating results.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(the “FCPA”), the U.S. domestic bribery statute contained in 18 U.S.C. § 201, the U.S. Travel Act, and other anti-corruption, anti-bribery and anti-money laundering laws in countries in which we conduct activities. In addition, we may become subject to other anti-corruption, anti-bribery and anti-money laundering laws if we expand our operations into new jurisdictions.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evolving regulations around personal delivery devices (or public mobile robots), could materially impact our business and growth prospects in new markets.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While we proactively engage with lawmakers, academics, standards-setting organizations, urban planning nonprofits, disability rights advocates, senior citizen organizations, pedestrian advocacy groups and regional bicycle coalitions to anticipate and mitigate potential regulatory challenges, we cannot be assured that such efforts will be successful, and failure to achieve favorable outcomes may have an adverse effect on our business, prospects, results of operations and financial condition.</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two dozen states across the United States have enacted legislation regulating personal delivery devices (“PDDs”), also known as public mobile robots (“PMRs”), using a definition that includes sidewalk delivery robots such as ours. While these regulations have been largely industry-friendly and intended to streamline the rollout of PDDs in those jurisdictions, they are not yet uniform and may present some challenges as we seek to deploy in new markets. For example, Washington state has an unladen weight restriction below 120lbs, and the City of Santa Monica and New York state both prohibit the operation of autonomous devices on sidewalks. These ordinances and statutes require amendments in order for us to expand into those jurisdictions.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some municipal jurisdictions, such as the cities of Chicago and Los Angeles, PDDs are still regulated under pilot programs at the discretion of the cities’ departments of transportation. These frameworks may require ongoing discussions and positive community feedback to enable further deployment and market expansion. We expect that some number of jurisdictions that are granting their first PDD licenses will create pilot programs as well prior to full commercial regulatory licensing.</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Furthermore, the cellular network and radio systems contained in our robots are regulated by the U.S.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(the “DOT”) and other regulatory bodies. Any failure to comply with the DOT’s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Expanding our products, services, and geographic footprint may subject us to additional and evolving regulatory, licensing, and compliance obligations.</w:t>
      </w:r>
    </w:p>
    <w:p>
      <w:pPr>
        <w:spacing w:after="0" w:line="202"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As we aim to introduce new products and services and expand into new markets, including through acquisitions, we expect to become subject to additional regulations, restrictions, and licensing requirements. As we expand and localize our international activities, we expect that our obligations in the markets in which we operate will continue to increase. This may include laws and regulations surrounding product safety and certification, data privacy and cybersecurity, healthcare and financial services regulations, labor and employment, environmental, import/export controls, and foreign investment or national security reviews, among others. Obtaining and maintaining required approvals, certifications, and licenses can be costly and time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consuming, and failure or perceived failure to comply may result in fines, penalties, injunctions, mandated product changes, delays in launches or deployments, restrictions on data use or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border transfers, and contractual liability. Moreover, overlapping or inconsistent requirements across jurisdictions may require us to modify products, features, or operational processes on a country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country basis, increase compliance costs, and divert management attention, any of which could adversely affect our business, results of operations, financial condition, and prospects.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tax laws or exposure to additional tax liabilities may have a negative impact on our operating results.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U.S. federal and state tax laws and rates could adversely affect our results of operations and cash flows. It is also possible that changes in overall profitability, changes in U.S. GAAP, or changes in the valuation of deferred tax assets could adversely affect our future results of operations.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regularly undergo tax audits in various jurisdictions in which we operate. Although we believe that our income tax provisions and accruals are reasonable and in accordance with U.S. GAAP, and that we prepare our tax filings in accordance with all applicable tax laws, the final determination with respect to any tax audits and any related litigation, could be materially different from our historical income tax provisions and accruals. The results of a tax audit or litigation could materially affect our operating results and cash flows in the periods for which that determination is made. In addition, future period net income may be adversely impacted by litigation costs, settlements, penalties and interest assessments.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may be volatile and could decline significantly.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Stock exchanges and quotation systems, including The Nasdaq Capital Market (“Nasdaq”), on which our common stock is listed or may be listed or quoted on in the future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as of the date of purchase. We cannot assure you that the market price of our common stock will not fluctuate widely or decline significantly in the future in response to a number of factors, including, among others, the following:</w:t>
      </w:r>
    </w:p>
    <w:p>
      <w:pPr>
        <w:spacing w:after="0" w:line="111" w:lineRule="exact"/>
        <w:rPr>
          <w:sz w:val="20"/>
          <w:szCs w:val="20"/>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of the risk factors presented in this Annual Report on Form 10-K;</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differences in our estimates, or in the estimates of analysts, for our revenues, results of operations, level of indebtedness, liquidity or financial condition;</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Nasdaq;</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Sarbanes-Oxley Act or other laws or regulations;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sales, resales or repurchases or anticipated issuances, sales, resales or repurchases, of our common stock;</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market valuations of other similar companies;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disruptions in the financial markets, including sudden disruptions in the credit markets;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potential or perceived control, accounting or reporting problems; and</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and guidelines.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a material weakness increases the risk of material misstatement of the consolidated financial statements.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public company and are required, pursuant to Section 404(a) of the Sarbanes-Oxley Act, to furnish a report by management on, among other things, the effectiveness of our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our reporting obligations. Ineffective internal controls could also cause investors to lose confidence in reported financial information, which could have a negative effect on the trading price of our common stock.</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report by management is required to include disclosure of any material weaknesses identified in internal control over financial reporting. However, for as long as we are an “emerging growth company” under the Jumpstart Our Business Startups Act of 2012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 The design and implementation of internal control over financial reporting has required and will continue to require significant time and resources from management and other personnel.</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management’s assessment of our internal control over financial reporting as of December 31, 2025, management identified multiple material weaknesses in our internal controls over financial reporting. A “material weakness” is a deficiency, or combination of deficiencies, in internal control over financial reporting, such that there is more than a reasonable possibility that a material misstatement of our annual or interim financial statements will not be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prevented or detected on a timely basis. Refer to </w:t>
      </w:r>
      <w:r>
        <w:rPr>
          <w:rFonts w:ascii="Times New Roman" w:cs="Times New Roman" w:eastAsia="Times New Roman" w:hAnsi="Times New Roman"/>
          <w:sz w:val="14"/>
          <w:szCs w:val="14"/>
          <w:i w:val="1"/>
          <w:iCs w:val="1"/>
          <w:color w:val="auto"/>
        </w:rPr>
        <w:t>Part II, Item 9A. “Controls and Procedures”</w:t>
      </w:r>
      <w:r>
        <w:rPr>
          <w:rFonts w:ascii="Times New Roman" w:cs="Times New Roman" w:eastAsia="Times New Roman" w:hAnsi="Times New Roman"/>
          <w:sz w:val="14"/>
          <w:szCs w:val="14"/>
          <w:color w:val="auto"/>
        </w:rPr>
        <w:t xml:space="preserve"> within this Annual Report on Form 10-K for a full discussion of the results of management’s assessment.</w:t>
      </w:r>
    </w:p>
    <w:p>
      <w:pPr>
        <w:spacing w:after="0" w:line="31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we are unable to assert that our internal control over financial reporting is effective, we could lose investor confidence in the accuracy and completeness of financial reports, which would cause the price of our common stock to decline, and we may be subject to investigation or sanctions by the SEC.</w:t>
      </w:r>
    </w:p>
    <w:p>
      <w:pPr>
        <w:spacing w:after="0" w:line="9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03" w:lineRule="exact"/>
        <w:rPr>
          <w:sz w:val="20"/>
          <w:szCs w:val="20"/>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have our independent registered public accounting firm audit our internal control over financial reporting under Section 404 of the Sarbanes-Oxley Act;</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Annual Report on Form 10-K; and</w:t>
      </w:r>
    </w:p>
    <w:p>
      <w:pPr>
        <w:spacing w:after="0" w:line="146" w:lineRule="exact"/>
        <w:rPr>
          <w:rFonts w:ascii="Times New Roman" w:cs="Times New Roman" w:eastAsia="Times New Roman" w:hAnsi="Times New Roman"/>
          <w:sz w:val="14"/>
          <w:szCs w:val="14"/>
          <w:color w:val="auto"/>
        </w:rPr>
      </w:pPr>
    </w:p>
    <w:p>
      <w:pPr>
        <w:ind w:left="760" w:hanging="246"/>
        <w:spacing w:after="0" w:line="263" w:lineRule="auto"/>
        <w:tabs>
          <w:tab w:leader="none" w:pos="7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and stockholder approval of any golden parachute payments not previously approved.</w:t>
      </w:r>
    </w:p>
    <w:p>
      <w:pPr>
        <w:spacing w:after="0" w:line="3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(i) the end of the fiscal year following the fifth anniversary of the first sale of our common stock pursuant to a registration statement under the Securities Act; (ii) the last day of the fiscal year in which we have more than $1.235 billion in annual revenues; (iii) the date we become a “large accelerated filer,” with at least $700 million of equity securities held by non-affiliates; or (iv) the date on which we have issued, in any three-year period, more than $1.00 billion in non-convertible debt securities.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are less than $100.0 million during the most recently completed fiscal year and our voting and non-voting common stock held by non-affiliates is less than $700.0 million measured on the last business day of our second fiscal quarter.</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or take other corporate actions, including effecting changes in our management. These provisions:</w:t>
      </w:r>
    </w:p>
    <w:p>
      <w:pPr>
        <w:spacing w:after="0" w:line="104" w:lineRule="exact"/>
        <w:rPr>
          <w:sz w:val="20"/>
          <w:szCs w:val="20"/>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so that not all members of our board are elected at one time;</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to establish the number of directors and fill vacancies on the board;</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super-majority voting to amend some provisions in our amended and restated certificate of incorporation and amended and restated bylaws;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and</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robots, employees or customers; violation of privacy or security laws and other litigation, legal and reputational risks. We have implemented several cybersecurity processes, technologies, and controls to aid in our efforts to assess, identify, and manage such material risks.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cybersecurity risk management program is integrated with our overall enterprise risk management program. As part of these processes, and to ensure confidentiality, integrity and availability of critical data and systems, we have implemented various technologies that aid in the prevention, detection, investigation, response and remediation of vulnerabilities, cybersecurity incidents and risks. These technologies and processes include, but are not limited to, mobile device management, virtual private network security services, attack surface management services, cloud threat detection and response systems, cloud security posture management solutions, cloud-native security scanners and source code analysis tooling, continuous compliance monitoring, phishing simulation, and security awareness training solutions.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Evaluation and mitigation of third-party risks are included within our overall risk assessment process. We perform due diligence on third parties with access to our facilities, networks, systems, organization or client data to include third-party service providers who act as sub-processors assisting in the delivery and support of our services. Where necessary, we require third parties that could introduce significant cybersecurity risk, to agree by contract to employ technical, administrative and physical security safeguards and to agree to be subject to cybersecurity audits, which we conduct as appropriate. See the risk factor entitled “We are subject to cybersecurity risks to our robot fleet, operational systems, security systems, infrastructure, integrated software in our products and data processed by us or third-party vendors...” in </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 xml:space="preserve"> in this report for more information.</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security team is led by our VP of Security who has over 15 years of direct cybersecurity experience, including incident response, security operations and management. The VP of Security oversees our security and infrastructure teams, which are responsible for the continuous monitoring, reporting and response to threats and vulnerabilities discovered through the deployment and operation of these tools. As part of our risk management strategy, our cybersecurity team conducts routine vulnerability and risk assessments within our product operations and service environments. Our VP of Security oversees these assessments and ensures the results of these reviews and any incidents identified by security tooling are reported to senior management and the internal steering committee as part of the quarterly reporting process. As part of routine security assessments, if any material deficiencies relating to IT general controls over financial reporting are discovered, the VP of Security is required to report them directly to the executive management team and internal steering committee without delay.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the last three fiscal years, we have not experienced, and are not aware of, any material cybersecurity incidents and the expenses we have incurred from cybersecurity incidents were immaterial.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additional information about these risks, see </w:t>
      </w:r>
      <w:r>
        <w:rPr>
          <w:rFonts w:ascii="Times New Roman" w:cs="Times New Roman" w:eastAsia="Times New Roman" w:hAnsi="Times New Roman"/>
          <w:sz w:val="14"/>
          <w:szCs w:val="14"/>
          <w:i w:val="1"/>
          <w:iCs w:val="1"/>
          <w:color w:val="auto"/>
        </w:rPr>
        <w:t>Part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Item 1A.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We have not incurred any penalties or entered into any settlements related to cybersecurity matters.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internal steering committee and board of directors oversees our risk management strategies and processes, regarding risk assessment and risk management as they relate to cybersecurity. Our security and infrastructure teams are responsible for implementing and maintaining cybersecurity and data protection controls and practices for the protection of our robots, customer and company information, systems and data. The VP of Security in coordination with our internal steering committee, whose members include professionals from our executive team, general counsel, product and technology and finance teams, meet quarterly to review our Cybersecurity risk exposure, discuss internal and external threat actors and prioritize remediation strategies. The internal steering committee makes decisions on the avoidance, transference, acceptance and mitigation of our overall cybersecurity risk exposure.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steering committee, typically in joint session with the full board of directors, meets quarterly with the Company’s executive leadership to receive reports regarding our overall security posture. These reports include updates on the implementation of cybersecurity controls, data security, risk assessments, the status of internal cybersecurity projects, technology compliance, employee awareness training and any notable incidents that have occurred within the quarter and related remediation efforts.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current headquarters are located in Redwood City, California, where we lease 4,200 square feet of office and industrial space. In 2026, we will be relocating our headquarters to 1360 and 1390 Bayport Avenue in San Carlos, California. Our headquarters contain research and development, operations and selling, general and administrative functions, as well as test tracks for our robots. We also lease fourteen other facilities throughout the United States, three of which are offices and eleven of which are depot locations.</w:t>
      </w:r>
    </w:p>
    <w:p>
      <w:pPr>
        <w:spacing w:after="0" w:line="104" w:lineRule="exact"/>
        <w:rPr>
          <w:sz w:val="20"/>
          <w:szCs w:val="20"/>
          <w:color w:val="auto"/>
        </w:rPr>
      </w:pPr>
    </w:p>
    <w:p>
      <w:pPr>
        <w:ind w:right="640"/>
        <w:spacing w:after="0" w:line="466" w:lineRule="auto"/>
        <w:rPr>
          <w:sz w:val="20"/>
          <w:szCs w:val="20"/>
          <w:color w:val="auto"/>
        </w:rPr>
      </w:pPr>
      <w:r>
        <w:rPr>
          <w:rFonts w:ascii="Times New Roman" w:cs="Times New Roman" w:eastAsia="Times New Roman" w:hAnsi="Times New Roman"/>
          <w:sz w:val="14"/>
          <w:szCs w:val="14"/>
          <w:color w:val="auto"/>
        </w:rPr>
        <w:t xml:space="preserve">We believe our facilities are adequate and suitable for our current needs, and additional or alternative space is expected to be available should it be required to accommodate our operations. </w:t>
      </w:r>
      <w:r>
        <w:rPr>
          <w:rFonts w:ascii="Times New Roman" w:cs="Times New Roman" w:eastAsia="Times New Roman" w:hAnsi="Times New Roman"/>
          <w:sz w:val="14"/>
          <w:szCs w:val="14"/>
          <w:b w:val="1"/>
          <w:bCs w:val="1"/>
          <w:color w:val="auto"/>
        </w:rPr>
        <w:t>Item 3. Legal Proceedings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from time to time subject to various claims, lawsuits and other legal and administrative proceedings arising in the ordinary course of business. However, we do not consider any such claims, lawsuits or proceedings that are currently pending, individually or in the aggregate, to be material to our business or likely to result in a material adverse effect on our future operating results, financial condition or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common stock is quoted on Nasdaq under the symbol “SERV”. As of December 31, 2025, there were approximately 126 stockholders of record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and will be dependent upon financial condition, results of operations, capital requirements and such other factors as the Board deems relevant.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Vayu Robotics, Inc. Acquisition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August 15, 2025, the Company completed its acquisition of Vayu pursuant to the Agreement and Plan of Merger (the “Vayu Merger Agreement”), by and among the Company, Valencia Merger Sub I Inc., a Delaware corporation and the Company’s direct wholly-owned subsidiary, Valencia Merger Sub II LLC, a Delaware limited liability company and the Company’s direct wholly-owned subsidiary, Vayu and certain of Vayu’s securityholders, pursuant to which the Company issued 1,494,906 shares of its common stock in initial upfront consideration. The shares of the Company’s common stock were issued pursuant to an exemption from registration under Section 4(a)(2) of the Securities Act and/or Regulation D promulgated thereunder.</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accordance with the terms of the Vayu Merger Agreement, up to 560,000 shares of the Company’s common stock may be issued in the future as earnout consideration to Vayu stockholders and debtholders, contingent upon the achievement of certain autonomy performance milestones as set forth in the Vayu Merger Agreement. Any such shares will be issued pursuant to an exemption from registration under Section 4(a)(2) of the Securities Act and/or Regulation D promulgated thereunder.</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accordance with the terms of the Vayu Merger Agreement, upon the closing of the transaction, the Company also issued 4,000,000 warrants to a certain Vayu securityholder (the “KV Warrants”). Each KV Warrant entitles the holder to purchase one share of the Company’s common stock, subject to adjustment thereunder, at an exercise price of $10.36 per share (which amount is equal to the 10-day volume-weighted average price of the common stock prior to the closing of the transaction). The KV Warrants contain customary terms and are exercisable at any time on or after August 15, 2029, and terminate on August 15, 2031. The KV Warrants were issued pursuant to an exemption from registration under Section 4(a)(2)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August PIPE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27, 2024, we entered into a Securities Purchase Agreement (the “August Purchase Agreement”) with a certain accredited and institutional investor for a private placement offering of pre-funded warrants (the “August Pre-Funded Warrants”) to purchase shares of our common stock and warrants exercisable for shares of our common stock (the “Common Warrants”). Pursuant to the August Purchase Agreement, on August 28, 2024, the Company sold 555,555 August Pre-funded Warrants exercisable for one share of common stock, together with the August Investor Warrants to purchase up to 555,555 shares of common stock. Each August Pre-Funded Warrant and accompanying August Investor Warrants were sold together at a combined offering price of $8.9999, for aggregate consideration of $5 million.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August Pre-Funded Warrants are immediately exercisable, at a nominal exercise price of $0.0001, and may be exercised at any time until all of the August Pre-Funded Warrants are exercised in full. The Common Warrants have an exercise price of $10.00 per share (subject to adjustment as set forth in the Common Warrant), are exercisable upon issuance and will expire five and a half years from the date of issuance.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pursuant to the August Purchase Agreement, we agreed with the investor to exercise the Investor Warrants (as defined below) to purchase an aggregate of 2,500,000 shares of our common stock (the “Warrant Exchange”). The Investor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Warrants were exercised at their exercise price of $6.00 per share. In consideration for the immediate exercise in full of the Investor Warrants for gross cash proceeds of approximately $15.0 million, the exercising holder received in a private placement new unregistered warrants (the “Exchange Warrants”) to purchase up to an aggregate of 2,200,000 shares of Common Stock with an exercise price of $10.00 per share. The Exchange Warrants are exercisable upon issuance and will expire five and a half years from the date of issuance.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transactions were exempt from registration under Section 4(a)(2) of the Securities Act as not involving any public offering or Regulation D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July PIPE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23, 2024, we entered into a Securities Purchase Agreement (the “July Purchase Agreement”) with a certain accredited and institutional investor for a private placement offering of pre-funded warrants (the “July Pre-Funded Warrants”) to purchase shares of our common stock and warrants exercisable for our common stock (the “Investor Warrants”). Pursuant to the July Purchase Agreement, on July 24, 2024, we sold 2,500,000 July Pre-Funded Warrants, with each July Pre-Funded Warrant exercisable for one share of our common stock, together with Investor Warrants to purchase up to 2,500,000 shares of our common stock. Each July Pre-Funded Warrant and accompanying Investor Warrant were sold together at a combined offering price of $5.9999, for aggregate consideration of $15 million.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July Pre-Funded Warrants are immediately exercisable, at a nominal exercise price of $0.0001, and may be exercised at any time until all of the July Pre-Funded Warrants are exercised in full. The Investor Warrants have an exercise price of $6.00 per share (subject to adjustment as set forth in the Investor Warrant), are exercisable upon issuance and will expire five and a half years from the date of issuance.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transactions were exempt from registration under Section 4(a)(2) of the Securities Act as not involving any public offering or Regulation D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Representative’s Warrant</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17, 2024, we entered into an underwriting agreement (the “Underwriting Agreement”) with Aegis Capital Corp. (“Aegis”) in connection with the public offering of 10,000,000 shares of our common stock at a public offering price of $4.00 per share (the “Offering”). Pursuant to the Underwriting Agreement, at the closing of the Offering on April 22, 2024, we issued to Aegis a warrant to purchase 500,000 shares of our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issuance of the Representative’s Warrant was exempt from registration under the Securities Act pursuant to Section 4(a)(2) of the Securities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Placement Agent’s Warrant</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a placement agent’s agreement, Network 1 Financial Securities, Inc. (“Network 1”) served as the exclusive placement agent in connection with the Convertible Promissory Notes Offering (as defined below). In connection with the Convertible Promissory Notes Offering, we agreed to issue Network 1 (or its designated affiliates) warrants (the “Placement Agent’s Warrant”) to purchase 10% of the shares of the common stock issued upon conversion of the Convertible Promissory Notes that were issued to investors that Network 1 introduced to us.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Offering, the Convertible Promissory Notes converted to shares of common stock, and on April 22, 2024, we issued Network 1 the Placement Agent’s Warrant to purchase up to $63,479 shares of common stock at an exercise price of $2.42 per share. The Placement Agent’s Warrant expires on April 17, 2029.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issuance of the Placement Agent’s Warrant was exempt from registration under the Securities Act pursuant to Section 4(a)(2) of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Magna Warrant</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strategic partnership with Magna New Mobility USA, Inc. (“Magna”), on February 7, 2024, the Company issued to Magna a warrant (the “Magna Warrant”) to purchase up to 2,145,000 shares of the Company’s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par value $0.0001 per share (the “Magna Warrant Shares”), subject to adjustments as provided therein, at an exercise price per share of $0.01.</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Magna Warrant is exercisable in two equal tranches: (i) the first tranche became exercisable no later than May 15, 2024, subject to certain conditions; and (ii) the second tranche became exercisable upon the achievement by Magna of a certain manufacturing milestone as set forth in a production and purchase agreement to be entered into with respect to the contract manufacturing of the Company’s autonomous delivery robots by Magna or one of its affiliates. As of December 31, 2024, the manufacturing milestone was met and the second tranche was fully exercisable.</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Magna Warrant Shares that may be issued pursuant to the exercise of the Magna Warrant were offered and sold in a transaction exempt from registration under the Securities Act in reliance on Section 4(a)(2) of the Securities 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Convertible Promissory Notes Offering</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an initial closing on January 2, 2024 and subsequent closings on January 12, 2024, January 22, 2024 and January 26, 2024, we issued an aggregate of $5.0 million in convertible promissory notes (the “Convertible Promissory Notes”) to accredited investors (the “Convertible Promissory Notes Offering”).</w:t>
      </w:r>
    </w:p>
    <w:p>
      <w:pPr>
        <w:spacing w:after="0" w:line="146" w:lineRule="exact"/>
        <w:rPr>
          <w:sz w:val="20"/>
          <w:szCs w:val="20"/>
          <w:color w:val="auto"/>
        </w:rPr>
      </w:pPr>
    </w:p>
    <w:p>
      <w:pPr>
        <w:ind w:right="1600"/>
        <w:spacing w:after="0" w:line="465" w:lineRule="auto"/>
        <w:rPr>
          <w:sz w:val="20"/>
          <w:szCs w:val="20"/>
          <w:color w:val="auto"/>
        </w:rPr>
      </w:pPr>
      <w:r>
        <w:rPr>
          <w:rFonts w:ascii="Times New Roman" w:cs="Times New Roman" w:eastAsia="Times New Roman" w:hAnsi="Times New Roman"/>
          <w:sz w:val="14"/>
          <w:szCs w:val="14"/>
          <w:color w:val="auto"/>
        </w:rPr>
        <w:t xml:space="preserve">These transactions were exempt from registration under Section 4(a)(2) of the Securities Act as not involving any public offering or Regulation D promulgated thereunder. </w:t>
      </w:r>
      <w:r>
        <w:rPr>
          <w:rFonts w:ascii="Times New Roman" w:cs="Times New Roman" w:eastAsia="Times New Roman" w:hAnsi="Times New Roman"/>
          <w:sz w:val="14"/>
          <w:szCs w:val="14"/>
          <w:b w:val="1"/>
          <w:bCs w:val="1"/>
          <w:color w:val="auto"/>
        </w:rPr>
        <w:t>Item 6. [Reserved]</w:t>
      </w: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The following discussion and analysis of our financial condition and results of operations should be read in conjunction with our consolidated financial statements and the related notes included in Part II, Item 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of this Annual Report on Form 10-K.</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In addition to our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“Cautionary Statement Regarding Forward-Looking Statements” and Part I, Item 1A. “Risk Factors,” for a discussion of factors that could cause actual results to differ materially from the results described in or implied by the forward-looking statements contained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engaged in developing technologies intended to enable sustainable, autonomous robotic solutions for public spaces. Serve has developed an advanced, AI-powered robotics mobility platform that integrates proprietary hardware, AI, computer vision, and cloud-based fleet management software to enable autonomous operation in complex, real-world environments. We design, engineer, deploy, and operate low-emission robotic systems built on this platform.</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Serve is shaping the future of sustainable, self-driving delivery. 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core technology originated in 2017 as a specialized project within Postmates, one of the pioneering food delivery startups in the United States. As of December 31, 2025, our fleet consisted of over 2,000 sidewalk delivery robots. We maintain platform-level integrations with major food delivery platforms, including Uber Eats and DoorDash, enabling real-time order dispatch, robot status updates, and operational coordination.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delivery revenue, we are developing supplementary revenue streams, including on-robot advertising and branding, fleet data monetization, and software licensing opportunities.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plan to extend our autonomous mobility platform into indoor environments, including healthcare and other commercial settings. These initiatives are intended to broaden our addressable market beyond outdoor food delivery and reflect our strategy to deploy our AI-enabled robotics platform across multiple verticals. We expect to leverage complementary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technologies, domain expertise, and commercial relationships to enhance product capabilities, accelerate deployment opportunities, and support scalable, recurring revenue growth over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2025 and 2024, we generated revenues of $2.7 million and $1.8 million, respectively, and reported net loss of $101.4 million and $39.2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noted in our consolidated financial statements, as of December 31, 2025, we had an accumulated deficit of $208.9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 (October 2025)</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gross proceeds to the Company from the registered direct offering were approximately $100.0 million, before deducting the placement agents’ fees and other offering expenses payable by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Vayu Robotics, Inc.</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15, 2025, the Company acquired all of the issued and outstanding equity of Vayu, which was accounted for under the acquisition method of accounting. Refer to the “Liquidity and Capital Resources” section for discussion of the purchase price and the acquisition’s impact on the Company’s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Voysys AB</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1, 2025, the Company acquired from Phantom Auto Inc. all of the issued and outstanding equity of Voysys AB (“Voysys”), which was accounted for under the acquisition method of accounting. Refer to the “Liquidity and Capital Resources” section for discussion of the purchase price and the acquisition’s impact on the Company’s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 (January 2025)</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7, 2025, the Company entered into a securities purchase agreement with a certain institutional investor pursuant to which the Company agreed to issue and sell, in a registered direct offering an aggregate of 4,210,525 shares of the Company’s common stock, $0.0001 par value per share at a price of $19.00 per share. The gross proceeds to the Company from the Registered Direct Offering were approximately $80.0 million, before deducting the placement agents’ fees and other offering expenses payable by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Outlook And Challenges Facing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a number of industry factors that affect our business which include, among others: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Overall Demand for Last-mile Delivery on Partner Platforms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Concentration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significant portion of our revenue is concentrated with a limited number of customers. The following table represents the concentration of revenue for all customers that accounted for more than 10% of our revenues for the years ended December 31, 2025 and 2024:</w:t>
      </w:r>
    </w:p>
    <w:p>
      <w:pPr>
        <w:spacing w:after="0" w:line="16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22860</wp:posOffset>
            </wp:positionV>
            <wp:extent cx="20618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 sales as a percentage of total revenues</w:t>
            </w:r>
          </w:p>
        </w:tc>
        <w:tc>
          <w:tcPr>
            <w:tcW w:w="1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4"/>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 sales as a percentage of total revenues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bl>
    <w:p>
      <w:pPr>
        <w:spacing w:after="0" w:line="2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significant portion of our accounts receivable is concentrated with a limited number of customers. The following table represents the concentration of accounts receivable for all customers that account for more than 10% of our total accounts receivable as of December 31, 2025 and 2024:</w:t>
      </w:r>
    </w:p>
    <w:p>
      <w:pPr>
        <w:spacing w:after="0" w:line="16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22860</wp:posOffset>
            </wp:positionV>
            <wp:extent cx="20618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 receivables as a percentage of total accounts receivable</w:t>
            </w:r>
          </w:p>
        </w:tc>
        <w:tc>
          <w:tcPr>
            <w:tcW w:w="1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 receivables as a percentage of total accounts receivable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 receivables as a percentage of total accounts receivable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D receivables as a percentage of total accounts receivable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E receivables as a percentage of total accounts receivable</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are inherent risks whenever a large percentage of total revenues and accounts receivable are concentrated with a limited number of customers. The loss of any or all of these customers could have a negative impact on our planned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and Market Considerations; Availability of Materials, Labor &amp; Services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gasoline prices, interest rates, consumer confidence and other macroeconomic factors. Inflation can lead to increased cost of material and labor for restaurants and merchants who may in turn raise prices on the items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However, inflation can also serve as a tailwind that may accelerate the adoption of automated robotic last-mile delivery, as labor becomes more expensive and drives up the cost of delivery by humans.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Intellectual Property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to our knowledge, no actual or threatened litigation against us for patent-related matters, litigation or threatened litigation is a common method to enforce or protect intellectual property rights. Such action may be initiated by or against us and would require significant management time and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Constraints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be sure whether global supply chain shortages will affect our future robot build plans. In order to mitigate supply chain risks, we may need to incur higher costs to secure available inventory and place non-cancelable purchase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commitments with our suppliers, which could introduce inventory risk if our forecasts and assumptions prove inaccurate. Higher costs of components would affect our cash runway and delays in the manufacturing of our robots would push out our revenue forecasts.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Governmental and Regulatory Conditions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or impact our unit economics in those markets.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revenue consists of fleet services, which includes revenue generated from delivery services, branding services, and data monetization; and software services, which includes revenue generated from licensing software to customers, and engineering and development projects.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allocations of depreciation on robot assets used for revenue producing activities, allocations of network costs, allocation of personnel time related to revenue activities, and costs related to data, software and similar costs that allow the robots to function as intended and for the Company to communicate with its robots while in service.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primarily consist of costs incurred by research and development functions. These costs are expensed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primarily consist of costs incurred by general and administrative functions, including executive management and administrative functions, including finance and accounting, legal and human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expenses primarily consist of costs incurred by field operations functions.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 expenses primarily consist of costs incurred by sales and marketing functions.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primarily includes the following items:</w:t>
      </w:r>
    </w:p>
    <w:p>
      <w:pPr>
        <w:spacing w:after="0" w:line="147" w:lineRule="exact"/>
        <w:rPr>
          <w:sz w:val="20"/>
          <w:szCs w:val="20"/>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which consists primarily of interest earned on our cash and cash equivalents and marketable securities.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Interest expense, which consists of stated rates of interest on financing instruments, fees incurred related to financing instruments or accretion of debt discounts.</w:t>
      </w:r>
    </w:p>
    <w:p>
      <w:pPr>
        <w:spacing w:after="0" w:line="157" w:lineRule="exact"/>
        <w:rPr>
          <w:rFonts w:ascii="Times New Roman" w:cs="Times New Roman" w:eastAsia="Times New Roman" w:hAnsi="Times New Roman"/>
          <w:sz w:val="14"/>
          <w:szCs w:val="14"/>
          <w:b w:val="1"/>
          <w:bCs w:val="1"/>
          <w:i w:val="1"/>
          <w:iCs w:val="1"/>
          <w:color w:val="auto"/>
        </w:rPr>
      </w:pPr>
    </w:p>
    <w:p>
      <w:pPr>
        <w:ind w:left="760" w:hanging="246"/>
        <w:spacing w:after="0" w:line="287" w:lineRule="auto"/>
        <w:tabs>
          <w:tab w:leader="none" w:pos="7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 (loss) on foreign currency translation, which consists primarily of remeasurement of transactions and monetary assets and liabilities denominated in currencies other than the functional currency at the end of the period.</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 (loss) from the sale or maturity of marketable securities.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derivative liability.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Results of Operations for the Years ended December 31, 2025 and 2024</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operating results as reflected in our statements of operations during the years ended December 31, 2025 and 2024, respectively, and provides information regarding the dollar and percentage increase or decrease during such periods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9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18,033</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16,145</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855 %</w:t>
            </w:r>
          </w:p>
        </w:tc>
      </w:tr>
      <w:tr>
        <w:trPr>
          <w:trHeight w:val="198"/>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loss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20409 %</w:t>
            </w:r>
          </w:p>
        </w:tc>
      </w:tr>
      <w:tr>
        <w:trPr>
          <w:trHeight w:val="212"/>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45,267</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21,012</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207"/>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r>
      <w:tr>
        <w:trPr>
          <w:trHeight w:val="196"/>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268 %</w:t>
            </w:r>
          </w:p>
        </w:tc>
      </w:tr>
      <w:tr>
        <w:trPr>
          <w:trHeight w:val="20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r>
      <w:tr>
        <w:trPr>
          <w:trHeight w:val="192"/>
        </w:trPr>
        <w:tc>
          <w:tcPr>
            <w:tcW w:w="4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97,387</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38,214</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r>
      <w:tr>
        <w:trPr>
          <w:trHeight w:val="207"/>
        </w:trPr>
        <w:tc>
          <w:tcPr>
            <w:tcW w:w="4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(112,769)</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(74,480)</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207"/>
        </w:trPr>
        <w:tc>
          <w:tcPr>
            <w:tcW w:w="4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r>
      <w:tr>
        <w:trPr>
          <w:trHeight w:val="196"/>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7"/>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gain on foreign currency translation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6"/>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Realized gain on investments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7"/>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9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(105,017)</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(39,191)</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(65,826)</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23"/>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Revenues increased by $0.8 million, or 46%, to $2.7 million, for the year ended December 31, 2025, compared with $1.8 million for the year ended December 31, 2024. This increase is due to strong operational execution and robot fleet expansion resulting in an increase of $1.0 million in fleet services revenue.</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Cost of revenues increased by $16.1 million to $18.0 million for the year ended December 31, 2025, compared with $1.9 million for the year ended December 31, 2024, due primarily to the substantial expansion of our robot fleet, which drove an approximately 430% increase in headcount and an overall increase in scale-up related costs during the year.</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Research and development expense increased by $21.0 million to $45.3 million for the year ended December 31, 2025, compared with $24.3 million for the year ended December 31, 2024, due primarily to an increase in headcount of approximately 130%, higher software-related expenses driven by expanded cloud platform usage, and increased depreciation expense.</w:t>
      </w:r>
    </w:p>
    <w:p>
      <w:pPr>
        <w:spacing w:after="0" w:line="1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increased by $27.0 million to $37.1 million for the year ended December 31, 2025, compared with $10.1 million for the year ended December 31, 2024, due primarily to an approximately 175% increase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headcount, higher stock-based compensation expense, and increased professional fees largely related to acquisition activities.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Operations expense increased by $8.8 million to $12.1 million for the year ended December 31, 2025, compared with $3.3 million for the year ended December 31, 2024. The increase was primarily attributable to an approximately 105% increase in headcount, higher depreciation expense associated with the expansion of our robot fleet, and increased facility costs related to our entry into new markets.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expenses increased by $2.3 million to $2.9 million for the year ended December 31, 2025, compared with $0.6 million for the year ended December 31, 2024. This increase was primarily due to an increase in headcount of approximately 365%.</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income increased by $6.0 million to $7.3 million for the year ended December 31, 2025, compared with $1.3 million for the year ended December 31, 2024, as a result of interest earned from cash on hand and marketable securities.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decreased $2.0 million to $3.4 thousand for the year ended December 31, 2025, from the expense of $2.0 million for the year ended December 31, 2024. The prior year expense was primarily related to amortization of debt discount.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Realized gain on foreign currency translation had a negligible increase for both periods. Such gains resulted from the translation of the Company’s non-U.S. transactions to U.S. dollars.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Realized gain on investments increased by $0.4 million for the year ended December 31, 2025, compared with no realized gains for the year ended December 31, 2024, as a result of sales of marketable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Metrics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regularly review the following key business metrics to evaluate our business, measure our performance, identify trends affecting our business, formulate business plans, and make strategic decisions: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2"/>
        </w:trPr>
        <w:tc>
          <w:tcPr>
            <w:tcW w:w="5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Daily Active Robots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1"/>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Daily Supply Hours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r>
    </w:tbl>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Daily Active Robots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define daily active robots as the average number of robots performing daily deliveries during the period. Daily active robots reflect our operation team’s capacity to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active robots in the field performing deliveries or generating branding revenues. We closely monitor and strive to efficiently increase our daily active robots as we improve our autonomy and resultant human-to-robot ratios and increase the number of merchants and brand advertisers on our platform.</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Daily Supply Hours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define daily supply hours as the average number of hours our robots are ready to accept offers and perform daily deliveries during the period. Supply hours represent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we had current assets of $241.1 million and current liabilities of $13.3 million, including $106.2 million in cash and cash equivalents. Cash and cash equivalents consisted of cash on deposit with banks as well as an institutional money market account. Marketable securities consist of commercial paper, corporate bonds, U.S. government agency securities and U.S. Treasury securities.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generated significant operating losses from our operations as reflected in our accumulated deficit of $208.9 million as of December 31, 2025. Historically, we have funded our operations through issuance of equity and debt securities. To execute on our strategic initiatives and continue growing our business, we may incur operating losses and generate negative cash flows from operations in the future, and as a result, we may require additional capital resources. We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believe our existing cash and cash equivalents will be sufficient to meet our working capital and capital expenditures needs for at least the next 12 months.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and the expansion of sales and marketing activities, the timing and extent of spending for policy initiatives. Further, we may in the future enter into arrangements to acquire or invest in businesses, products, services, and technologies. We may be required to seek additional equity or debt financing. If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 (in thousands):</w:t>
      </w:r>
    </w:p>
    <w:p>
      <w:pPr>
        <w:spacing w:after="0" w:line="18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15875</wp:posOffset>
            </wp:positionV>
            <wp:extent cx="19405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activities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(80,241)</w:t>
            </w:r>
          </w:p>
        </w:tc>
        <w:tc>
          <w:tcPr>
            <w:tcW w:w="80" w:type="dxa"/>
            <w:vAlign w:val="bottom"/>
          </w:tcPr>
          <w:p>
            <w:pPr>
              <w:spacing w:after="0"/>
              <w:rPr>
                <w:sz w:val="17"/>
                <w:szCs w:val="17"/>
                <w:color w:val="auto"/>
              </w:rPr>
            </w:pP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(21,542)</w:t>
            </w:r>
          </w:p>
        </w:tc>
        <w:tc>
          <w:tcPr>
            <w:tcW w:w="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(58,699)</w:t>
            </w:r>
          </w:p>
        </w:tc>
      </w:tr>
      <w:tr>
        <w:trPr>
          <w:trHeight w:val="207"/>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(197,999)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(10,318)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(187,681)</w:t>
            </w:r>
          </w:p>
        </w:tc>
      </w:tr>
      <w:tr>
        <w:trPr>
          <w:trHeight w:val="196"/>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Financing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261,212</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155,120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106,092</w:t>
            </w:r>
          </w:p>
        </w:tc>
      </w:tr>
      <w:tr>
        <w:trPr>
          <w:trHeight w:val="19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 increase in cash and cash equivalents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(17,028)</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123,260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(140,288)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was $80.2 million and $21.5 million for the years ended December 31, 2025 and 2024, respectively. The increase in cash used in operating activities of $58.7 million was primarily driven by a net loss of $101.4 million, adjusted for certain non-cash items, including $21.3 million of stock-based compensation expense, and $8.2 million of depreciation expense.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$198.0 million and $10.3 million for the years ended December 31, 2025 and 2024, respectively. The increase of $187.7 million was primarily due to $152.3 million of net purchases of marketable securities during the year, as well as, purchases of property and equipment related to fleet construction.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$261.2 million and $155.1 million for the years ended December 31, 2025 and 2024, respectively. The increase of $106.1 million was due to $170.8 million in proceeds from the issuance of common stock pursuant to a public offering, net of issuance costs, $78.7 million in proceeds from the issuance of pre-funded warrants to purchase common stock in connection with a private placement, net of issuance costs, and $11.4 million in proceeds from the exercise of warrants.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Transactions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periods presented, we did not have, and we do not currently have, off-balance sheet financing arrangements or any relationships with unconsolidated entities or financial partnerships, such as structured finance or special purpose entities, to facilitate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and the related notes thereto included in this Annual Report on Form 10-K are prepared in accordance with U.S. GAAP.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and stock-based compensation. These estimates require management’s judgment for inputs that are not observable. These estimates are developed based on historical experience and various other assumptions that we believe to be reasonable under the circumstances. Actual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results could differ significantly from our estimates. To the extent that there are differences between our estimates and actual results, our future financial statement presentation, financial condition, results of operations, and cash flows may be affected. We believe that the accounting policies described below involve a greater degree of judgment and complexity, and are most critical to aid in fully understanding and evaluating our consolidated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The Company accounts for revenue in accordance with Accounting Standards Codification 606</w:t>
      </w:r>
      <w:r>
        <w:rPr>
          <w:rFonts w:ascii="Times New Roman" w:cs="Times New Roman" w:eastAsia="Times New Roman" w:hAnsi="Times New Roman"/>
          <w:sz w:val="14"/>
          <w:szCs w:val="14"/>
          <w:i w:val="1"/>
          <w:iCs w:val="1"/>
          <w:color w:val="auto"/>
        </w:rPr>
        <w:t>, Revenue from Contracts with Customers</w:t>
      </w:r>
      <w:r>
        <w:rPr>
          <w:rFonts w:ascii="Times New Roman" w:cs="Times New Roman" w:eastAsia="Times New Roman" w:hAnsi="Times New Roman"/>
          <w:sz w:val="14"/>
          <w:szCs w:val="14"/>
          <w:color w:val="auto"/>
        </w:rPr>
        <w:t xml:space="preserve"> (“ASC 606”). The Company determines revenue recognition through the following steps:</w:t>
      </w:r>
    </w:p>
    <w:p>
      <w:pPr>
        <w:spacing w:after="0" w:line="133"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a contract with a customer;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performance obligations are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is measured based on the consideration we expect to receive, which is based on the amount specified in the contract with our customer. Revenue is recognized when the performance obligations under the terms of the contract are satisfied, which generally occurs as control of the promised goods or services is transferred to customers. If appropriate under ASC 606, we allocate the transaction price to individually distinct performance obligations based on the relative standalone selling prices of the distinct good or service.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revenue from its fleet services when the performance obligation is satisfied. The fleet performs delivery services, branding services, and data monetization. For delivery services, the Company satisfies its performance obligation when the delivery is complete, which is the point in time control of the delivered product transfers to the customer. The Company’s performance obligation for branding services is to continually promote a brand over the duration of the contractual term, which is typically less than one year. The Company primarily recognizes revenue as branding services are rendered, based on the amount that it has the right to invoice. For data monetization arrangements, the Company satisfies its performance obligation upon the customer’s acceptance of the data transfer, at which time control of the data is deemed to have transferred to the customer.</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recognizes revenue from its software services over time. The Company utilizes labor hours as a measure of progress to estimate the percentage of completion of the performance obligation at each reporting period. Due to the nature of certain performance obligations, the estimation of progress based on expected overall labor hours requires judgment. The consideration that we expect to receive may include both fixed and variable amounts. Service fees that have been invoiced or paid prior to the related performance obligations being met are recorded as deferred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depreciation and network costs allocated to on-duty robot assets, direct labor, and other direct costs related to data, software, and services required for the robots to operate as intended.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allocates the portion of depreciation expense and network costs recognized during each period based on fleet utilization. Fleet utilization is determined using the number of hours that a robot is actively completing a delivery compared to the total hours a robot is available for delivery. Fully depreciated assets are excluded from the calculation of utilization.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Direct labor costs are allocated to cost of revenue based on departments or resource with direct contact involvement. Each contract is assessed to determine which personnel will be directly involved in delivery of performance obligations. Direct labor typically includes roles in fleet management, hardware operations, and software engineering.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account for stock-based compensation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We measure all stock-based awards granted to employees, directors and non-employee consultants based on the fair value on the date of the grant and recognize compensation expense for those awards, net of estimated forfeitures, over the requisite service period, which is generally the vesting period of the respective award. For awards with service-based vesting conditions, we record the expense using the straight-line method. For awards with performance-based vesting conditions, we record the expense if and when we conclude that it is probable that the performance condition will be achieved.</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classify stock-based compensation expenses in our statements of operations in the same manner in which the award recipient’s payroll costs are classified or in which the award recipient’s service payments are classified.</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option-pricing model. We estimate the volatility of common stock on the date of grant based on the weighted-average historical stock price volatility of our own shares or comparable publicly traded companies in our industry group. The expected term of our stock options has been determined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accounts for business combinations using the purchase method of accounting. The Company allocates the purchase consideration to the assets acquired and liabilities assumed generally based on their fair values at the acquisition date. The excess of the fair value of purchase consideration over the fair value of these assets acquired and liabilities assumed is recorded as goodwill. During the measurement period, the Company may obtain information to assist in determining the fair value of net assets acquired, which may differ from preliminary estimates. The Company applies any measurement period adjustments in the reporting period in which the adjustment amounts are determined. The accounting for business combinations requires estimates and judgment as to expectations for future cash flows of the acquired business, and the allocation of those cash flows to identifiable intangible assets, in determining the estimated fair value for assets acquired and liabilities assumed. The fair values assigned to tangible and intangible assets acquired and liabilities assumed are based on estimates and assumptions, as well as other information compiled by the Company, including valuations that use customary valuation procedures and techniques.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of our acquisitions may include other forms of consideration, including mandatorily redeemable liabilities and other earn-out arrangements. As of the acquisition date, we record such consideration, as applicable, at the estimated fair value of the expected future payments associated with the obligation. Any changes to the recorded fair value of the consideration are recognized in earnings in the period in which they occur.</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Transaction expenses are recognized separately from the business combination and are expensed as incurred. These expenses primarily include direct third-party professional fees for advisory and consulting services and other incremental costs related to the acquisition.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Note 2 Summary of Significant Accounting Policies, to the consolidated financial statements included in </w:t>
      </w:r>
      <w:r>
        <w:rPr>
          <w:rFonts w:ascii="Times New Roman" w:cs="Times New Roman" w:eastAsia="Times New Roman" w:hAnsi="Times New Roman"/>
          <w:sz w:val="14"/>
          <w:szCs w:val="14"/>
          <w:i w:val="1"/>
          <w:iCs w:val="1"/>
          <w:color w:val="auto"/>
        </w:rPr>
        <w:t>Part II, Item 8. “Financial Statements and Supplementary Data,”</w:t>
      </w:r>
      <w:r>
        <w:rPr>
          <w:rFonts w:ascii="Times New Roman" w:cs="Times New Roman" w:eastAsia="Times New Roman" w:hAnsi="Times New Roman"/>
          <w:sz w:val="14"/>
          <w:szCs w:val="14"/>
          <w:color w:val="auto"/>
        </w:rPr>
        <w:t xml:space="preserve"> of this Annual Report on Form 10-K.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on which we (i) are no longer an emerging growth company or (ii)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a “smaller reporting company,” as defined in Item 10(f) of Regulation S-K, and we will remain a smaller reporting company until the last day of the fiscal year in which (1) the market value of our common stock held by non-affiliates equals or exceeds $250 million as of the prior June 30, or (2) our annual revenues equaled or exceeded $100 million during such completed fiscal year or the market value of our common stock held by non-affiliates equals or exceeds $700 million as of the prior June 30.</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Similar to emerging growth companies, smaller reporting companies have reduced disclosure obligations regarding executive compensation.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61"/>
        </w:trPr>
        <w:tc>
          <w:tcPr>
            <w:tcW w:w="102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6"/>
        </w:trPr>
        <w:tc>
          <w:tcPr>
            <w:tcW w:w="102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80" w:type="dxa"/>
            <w:vAlign w:val="bottom"/>
            <w:gridSpan w:val="3"/>
          </w:tcPr>
          <w:p>
            <w:pPr>
              <w:jc w:val="center"/>
              <w:ind w:right="262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1"/>
        </w:trPr>
        <w:tc>
          <w:tcPr>
            <w:tcW w:w="4480" w:type="dxa"/>
            <w:vAlign w:val="bottom"/>
            <w:tcBorders>
              <w:top w:val="single" w:sz="8" w:color="CCEEFF"/>
              <w:left w:val="single" w:sz="8" w:color="CCEEFF"/>
              <w:bottom w:val="single" w:sz="8" w:color="0000FF"/>
            </w:tcBorders>
            <w:gridSpan w:val="8"/>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#238)</w:t>
            </w:r>
          </w:p>
        </w:tc>
        <w:tc>
          <w:tcPr>
            <w:tcW w:w="58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F-2</w:t>
            </w:r>
          </w:p>
        </w:tc>
        <w:tc>
          <w:tcPr>
            <w:tcW w:w="20" w:type="dxa"/>
            <w:vAlign w:val="bottom"/>
          </w:tcPr>
          <w:p>
            <w:pPr>
              <w:spacing w:after="0"/>
              <w:rPr>
                <w:sz w:val="13"/>
                <w:szCs w:val="13"/>
                <w:color w:val="auto"/>
              </w:rPr>
            </w:pPr>
          </w:p>
        </w:tc>
      </w:tr>
      <w:tr>
        <w:trPr>
          <w:trHeight w:val="149"/>
        </w:trPr>
        <w:tc>
          <w:tcPr>
            <w:tcW w:w="1028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#3501</w:t>
            </w:r>
            <w:r>
              <w:rPr>
                <w:rFonts w:ascii="Times New Roman" w:cs="Times New Roman" w:eastAsia="Times New Roman" w:hAnsi="Times New Roman"/>
                <w:sz w:val="14"/>
                <w:szCs w:val="14"/>
                <w:u w:val="single" w:color="auto"/>
                <w:color w:val="0000FF"/>
              </w:rPr>
              <w: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F-3</w:t>
            </w:r>
          </w:p>
        </w:tc>
        <w:tc>
          <w:tcPr>
            <w:tcW w:w="20" w:type="dxa"/>
            <w:vAlign w:val="bottom"/>
          </w:tcPr>
          <w:p>
            <w:pPr>
              <w:spacing w:after="0"/>
              <w:rPr>
                <w:sz w:val="12"/>
                <w:szCs w:val="12"/>
                <w:color w:val="auto"/>
              </w:rPr>
            </w:pPr>
          </w:p>
        </w:tc>
      </w:tr>
      <w:tr>
        <w:trPr>
          <w:trHeight w:val="160"/>
        </w:trPr>
        <w:tc>
          <w:tcPr>
            <w:tcW w:w="4220" w:type="dxa"/>
            <w:vAlign w:val="bottom"/>
            <w:tcBorders>
              <w:top w:val="single" w:sz="8" w:color="0000FF"/>
              <w:lef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060" w:type="dxa"/>
            <w:vAlign w:val="bottom"/>
            <w:gridSpan w:val="2"/>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F-4</w:t>
            </w:r>
          </w:p>
        </w:tc>
        <w:tc>
          <w:tcPr>
            <w:tcW w:w="20" w:type="dxa"/>
            <w:vAlign w:val="bottom"/>
          </w:tcPr>
          <w:p>
            <w:pPr>
              <w:spacing w:after="0"/>
              <w:rPr>
                <w:sz w:val="13"/>
                <w:szCs w:val="13"/>
                <w:color w:val="auto"/>
              </w:rPr>
            </w:pPr>
          </w:p>
        </w:tc>
      </w:tr>
      <w:tr>
        <w:trPr>
          <w:trHeight w:val="32"/>
        </w:trPr>
        <w:tc>
          <w:tcPr>
            <w:tcW w:w="1000" w:type="dxa"/>
            <w:vAlign w:val="bottom"/>
            <w:tcBorders>
              <w:left w:val="single" w:sz="8" w:color="CCEEFF"/>
            </w:tcBorders>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3700" w:type="dxa"/>
            <w:vAlign w:val="bottom"/>
            <w:tcBorders>
              <w:bottom w:val="single" w:sz="8" w:color="0000FF"/>
            </w:tcBorders>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6580" w:type="dxa"/>
            <w:vAlign w:val="bottom"/>
            <w:gridSpan w:val="3"/>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F-5</w:t>
            </w:r>
          </w:p>
        </w:tc>
        <w:tc>
          <w:tcPr>
            <w:tcW w:w="20" w:type="dxa"/>
            <w:vAlign w:val="bottom"/>
          </w:tcPr>
          <w:p>
            <w:pPr>
              <w:spacing w:after="0"/>
              <w:rPr>
                <w:sz w:val="12"/>
                <w:szCs w:val="12"/>
                <w:color w:val="auto"/>
              </w:rPr>
            </w:pPr>
          </w:p>
        </w:tc>
      </w:tr>
      <w:tr>
        <w:trPr>
          <w:trHeight w:val="172"/>
        </w:trPr>
        <w:tc>
          <w:tcPr>
            <w:tcW w:w="1028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Stockholders’ Equity (Deficit</w:t>
            </w:r>
            <w:r>
              <w:rPr>
                <w:rFonts w:ascii="Times New Roman" w:cs="Times New Roman" w:eastAsia="Times New Roman" w:hAnsi="Times New Roman"/>
                <w:sz w:val="14"/>
                <w:szCs w:val="14"/>
                <w:color w:val="000000"/>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F-6</w:t>
            </w:r>
          </w:p>
        </w:tc>
        <w:tc>
          <w:tcPr>
            <w:tcW w:w="20" w:type="dxa"/>
            <w:vAlign w:val="bottom"/>
          </w:tcPr>
          <w:p>
            <w:pPr>
              <w:spacing w:after="0"/>
              <w:rPr>
                <w:sz w:val="14"/>
                <w:szCs w:val="14"/>
                <w:color w:val="auto"/>
              </w:rPr>
            </w:pPr>
          </w:p>
        </w:tc>
      </w:tr>
      <w:tr>
        <w:trPr>
          <w:trHeight w:val="149"/>
        </w:trPr>
        <w:tc>
          <w:tcPr>
            <w:tcW w:w="2280" w:type="dxa"/>
            <w:vAlign w:val="bottom"/>
            <w:tcBorders>
              <w:top w:val="single" w:sz="8" w:color="0000FF"/>
              <w:bottom w:val="single" w:sz="8" w:color="0000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w:t>
            </w:r>
          </w:p>
        </w:tc>
        <w:tc>
          <w:tcPr>
            <w:tcW w:w="1000" w:type="dxa"/>
            <w:vAlign w:val="bottom"/>
            <w:tcBorders>
              <w:top w:val="single" w:sz="8" w:color="0000FF"/>
            </w:tcBorders>
            <w:gridSpan w:val="2"/>
          </w:tcPr>
          <w:p>
            <w:pPr>
              <w:spacing w:after="0"/>
              <w:rPr>
                <w:sz w:val="12"/>
                <w:szCs w:val="12"/>
                <w:color w:val="auto"/>
              </w:rPr>
            </w:pPr>
          </w:p>
        </w:tc>
        <w:tc>
          <w:tcPr>
            <w:tcW w:w="7000" w:type="dxa"/>
            <w:vAlign w:val="bottom"/>
            <w:tcBorders>
              <w:top w:val="single" w:sz="8" w:color="CCEEFF"/>
            </w:tcBorders>
            <w:gridSpan w:val="4"/>
          </w:tcPr>
          <w:p>
            <w:pPr>
              <w:spacing w:after="0"/>
              <w:rPr>
                <w:sz w:val="12"/>
                <w:szCs w:val="12"/>
                <w:color w:val="auto"/>
              </w:rPr>
            </w:pPr>
          </w:p>
        </w:tc>
        <w:tc>
          <w:tcPr>
            <w:tcW w:w="98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F-7</w:t>
            </w:r>
          </w:p>
        </w:tc>
        <w:tc>
          <w:tcPr>
            <w:tcW w:w="20" w:type="dxa"/>
            <w:vAlign w:val="bottom"/>
          </w:tcPr>
          <w:p>
            <w:pPr>
              <w:spacing w:after="0"/>
              <w:rPr>
                <w:sz w:val="12"/>
                <w:szCs w:val="12"/>
                <w:color w:val="auto"/>
              </w:rPr>
            </w:pPr>
          </w:p>
        </w:tc>
      </w:tr>
      <w:tr>
        <w:trPr>
          <w:trHeight w:val="172"/>
        </w:trPr>
        <w:tc>
          <w:tcPr>
            <w:tcW w:w="1028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F-8</w:t>
            </w:r>
          </w:p>
        </w:tc>
        <w:tc>
          <w:tcPr>
            <w:tcW w:w="20" w:type="dxa"/>
            <w:vAlign w:val="bottom"/>
          </w:tcPr>
          <w:p>
            <w:pPr>
              <w:spacing w:after="0"/>
              <w:rPr>
                <w:sz w:val="14"/>
                <w:szCs w:val="14"/>
                <w:color w:val="auto"/>
              </w:rPr>
            </w:pPr>
          </w:p>
        </w:tc>
      </w:tr>
      <w:tr>
        <w:trPr>
          <w:trHeight w:val="710"/>
        </w:trPr>
        <w:tc>
          <w:tcPr>
            <w:tcW w:w="10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tcPr>
          <w:p>
            <w:pPr>
              <w:jc w:val="center"/>
              <w:ind w:right="3409"/>
              <w:spacing w:after="0"/>
              <w:rPr>
                <w:sz w:val="20"/>
                <w:szCs w:val="20"/>
                <w:color w:val="auto"/>
              </w:rPr>
            </w:pPr>
            <w:r>
              <w:rPr>
                <w:rFonts w:ascii="Times New Roman" w:cs="Times New Roman" w:eastAsia="Times New Roman" w:hAnsi="Times New Roman"/>
                <w:sz w:val="14"/>
                <w:szCs w:val="14"/>
                <w:color w:val="auto"/>
              </w:rPr>
              <w:t>F-1</w:t>
            </w:r>
          </w:p>
        </w:tc>
        <w:tc>
          <w:tcPr>
            <w:tcW w:w="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10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of Serve Robotics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Serve Robotics Inc. (the “Company”) as of December 31, 2024, the related consolidated statements of operations and comprehensive loss,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right="360"/>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dbb</w:t>
      </w:r>
      <w:r>
        <w:rPr>
          <w:rFonts w:ascii="Times New Roman" w:cs="Times New Roman" w:eastAsia="Times New Roman" w:hAnsi="Times New Roman"/>
          <w:sz w:val="14"/>
          <w:szCs w:val="14"/>
          <w:i w:val="1"/>
          <w:iCs w:val="1"/>
          <w:color w:val="auto"/>
        </w:rPr>
        <w:t>mckennon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Newport Beach,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2025</w:t>
      </w:r>
    </w:p>
    <w:p>
      <w:pPr>
        <w:spacing w:after="0"/>
        <w:rPr>
          <w:sz w:val="20"/>
          <w:szCs w:val="20"/>
          <w:color w:val="auto"/>
        </w:rPr>
      </w:pPr>
      <w:r>
        <w:rPr>
          <w:rFonts w:ascii="Times New Roman" w:cs="Times New Roman" w:eastAsia="Times New Roman" w:hAnsi="Times New Roman"/>
          <w:sz w:val="14"/>
          <w:szCs w:val="14"/>
          <w:color w:val="auto"/>
        </w:rPr>
        <w:t>We have served as the Company’s auditor from 2022 to 2025.</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Serve Robotics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202"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Serve Robotics Inc. and its subsidiaries (the "Company") as of December 31, 2025, and the related consolidated statements of operations and comprehensive loss, of stockholders’ equity (deficit)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7220" w:type="dxa"/>
            <w:vAlign w:val="bottom"/>
          </w:tcPr>
          <w:p>
            <w:pPr>
              <w:jc w:val="center"/>
              <w:ind w:left="200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8"/>
        </w:trPr>
        <w:tc>
          <w:tcPr>
            <w:tcW w:w="10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192"/>
        </w:trPr>
        <w:tc>
          <w:tcPr>
            <w:tcW w:w="1000" w:type="dxa"/>
            <w:vAlign w:val="bottom"/>
            <w:tcBorders>
              <w:bottom w:val="single" w:sz="8" w:color="CCEEFF"/>
            </w:tcBorders>
          </w:tcPr>
          <w:p>
            <w:pPr>
              <w:spacing w:after="0"/>
              <w:rPr>
                <w:sz w:val="16"/>
                <w:szCs w:val="16"/>
                <w:color w:val="auto"/>
              </w:rPr>
            </w:pPr>
          </w:p>
        </w:tc>
        <w:tc>
          <w:tcPr>
            <w:tcW w:w="7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106,239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123,266</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127,170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9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241,075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125,252</w:t>
            </w:r>
          </w:p>
        </w:tc>
      </w:tr>
      <w:tr>
        <w:trPr>
          <w:trHeight w:val="207"/>
        </w:trPr>
        <w:tc>
          <w:tcPr>
            <w:tcW w:w="8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w:t>
            </w:r>
          </w:p>
        </w:tc>
      </w:tr>
      <w:tr>
        <w:trPr>
          <w:trHeight w:val="196"/>
        </w:trPr>
        <w:tc>
          <w:tcPr>
            <w:tcW w:w="8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Intangible assets, net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r>
      <w:tr>
        <w:trPr>
          <w:trHeight w:val="196"/>
        </w:trPr>
        <w:tc>
          <w:tcPr>
            <w:tcW w:w="82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223"/>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367,751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139,601</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liabilities, current</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92"/>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13,298</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96"/>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w:t>
            </w:r>
          </w:p>
        </w:tc>
      </w:tr>
      <w:tr>
        <w:trPr>
          <w:trHeight w:val="17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7"/>
        </w:trPr>
        <w:tc>
          <w:tcPr>
            <w:tcW w:w="8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or outstanding as of both December 31, 2025 and 2024</w:t>
            </w:r>
          </w:p>
        </w:tc>
        <w:tc>
          <w:tcPr>
            <w:tcW w:w="9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$0.0001 par value; 300,000,000 shares authorized, 74,781,782 and 51,396,574 shares issued, and 74,734,949 and 51,288,566</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5"/>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outstanding as of December 31, 2025 and 2024, respectively</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559,485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239,201</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(208,886)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(107,525)</w:t>
            </w:r>
          </w:p>
        </w:tc>
      </w:tr>
      <w:tr>
        <w:trPr>
          <w:trHeight w:val="192"/>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350,744</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131,681</w:t>
            </w:r>
          </w:p>
        </w:tc>
      </w:tr>
      <w:tr>
        <w:trPr>
          <w:trHeight w:val="198"/>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367,751</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139,601</w:t>
            </w:r>
          </w:p>
        </w:tc>
      </w:tr>
      <w:tr>
        <w:trPr>
          <w:trHeight w:val="20"/>
        </w:trPr>
        <w:tc>
          <w:tcPr>
            <w:tcW w:w="10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801"/>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7220" w:type="dxa"/>
            <w:vAlign w:val="bottom"/>
          </w:tcPr>
          <w:p>
            <w:pPr>
              <w:jc w:val="center"/>
              <w:ind w:left="200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3"/>
        </w:trPr>
        <w:tc>
          <w:tcPr>
            <w:tcW w:w="100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1000" w:type="dxa"/>
            <w:vAlign w:val="bottom"/>
            <w:tcBorders>
              <w:bottom w:val="single" w:sz="8" w:color="CCEEFF"/>
            </w:tcBorders>
          </w:tcPr>
          <w:p>
            <w:pPr>
              <w:spacing w:after="0"/>
              <w:rPr>
                <w:sz w:val="16"/>
                <w:szCs w:val="16"/>
                <w:color w:val="auto"/>
              </w:rPr>
            </w:pPr>
          </w:p>
        </w:tc>
        <w:tc>
          <w:tcPr>
            <w:tcW w:w="7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w:t>
            </w:r>
          </w:p>
        </w:tc>
      </w:tr>
      <w:tr>
        <w:trPr>
          <w:trHeight w:val="198"/>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loss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2"/>
        </w:trPr>
        <w:tc>
          <w:tcPr>
            <w:tcW w:w="8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w:t>
            </w:r>
          </w:p>
        </w:tc>
      </w:tr>
      <w:tr>
        <w:trPr>
          <w:trHeight w:val="207"/>
        </w:trPr>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10,093</w:t>
            </w:r>
          </w:p>
        </w:tc>
      </w:tr>
      <w:tr>
        <w:trPr>
          <w:trHeight w:val="196"/>
        </w:trPr>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r>
      <w:tr>
        <w:trPr>
          <w:trHeight w:val="202"/>
        </w:trPr>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92"/>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38,214</w:t>
            </w:r>
          </w:p>
        </w:tc>
      </w:tr>
      <w:tr>
        <w:trPr>
          <w:trHeight w:val="218"/>
        </w:trPr>
        <w:tc>
          <w:tcPr>
            <w:tcW w:w="82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(38,289)</w:t>
            </w:r>
          </w:p>
        </w:tc>
      </w:tr>
      <w:tr>
        <w:trPr>
          <w:trHeight w:val="218"/>
        </w:trPr>
        <w:tc>
          <w:tcPr>
            <w:tcW w:w="82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96"/>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r>
      <w:tr>
        <w:trPr>
          <w:trHeight w:val="207"/>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gain on foreign currency translation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Realized gain on investments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96"/>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(39,191)</w:t>
            </w: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(39,191)</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related to items of other comprehensive income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(39,191)</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1000" w:type="dxa"/>
            <w:vAlign w:val="bottom"/>
            <w:shd w:val="clear" w:color="auto" w:fill="CCEEFF"/>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 and diluted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62,284,449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36,658,834</w:t>
            </w:r>
          </w:p>
        </w:tc>
      </w:tr>
      <w:tr>
        <w:trPr>
          <w:trHeight w:val="22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common share -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80" w:type="dxa"/>
            <w:vAlign w:val="bottom"/>
          </w:tcPr>
          <w:p>
            <w:pPr>
              <w:spacing w:after="0"/>
              <w:rPr>
                <w:sz w:val="11"/>
                <w:szCs w:val="11"/>
                <w:color w:val="auto"/>
              </w:rPr>
            </w:pPr>
          </w:p>
        </w:tc>
        <w:tc>
          <w:tcPr>
            <w:tcW w:w="1980" w:type="dxa"/>
            <w:vAlign w:val="bottom"/>
            <w:gridSpan w:val="3"/>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10"/>
                <w:szCs w:val="10"/>
                <w:color w:val="auto"/>
              </w:rPr>
            </w:pPr>
          </w:p>
        </w:tc>
        <w:tc>
          <w:tcPr>
            <w:tcW w:w="102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24,508,795</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64,468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(68,334)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(4,034)</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common stock pursuant to offering</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Offering costs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(4,151)</w:t>
            </w:r>
          </w:p>
        </w:tc>
        <w:tc>
          <w:tcPr>
            <w:tcW w:w="0" w:type="dxa"/>
            <w:vAlign w:val="bottom"/>
          </w:tcPr>
          <w:p>
            <w:pPr>
              <w:spacing w:after="0"/>
              <w:rPr>
                <w:sz w:val="1"/>
                <w:szCs w:val="1"/>
                <w:color w:val="auto"/>
              </w:rPr>
            </w:pPr>
          </w:p>
        </w:tc>
      </w:tr>
      <w:tr>
        <w:trPr>
          <w:trHeight w:val="131"/>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Conversion of convertible note and derivative liability into common</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2,104,562</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6,804</w:t>
            </w: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common stock under the Sales Agreement and Equity</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Distribution Agreement, net of offering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5,698,992</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77,595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77,596</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Restricted stock awards repurchased</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(233,208)</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Interest on recourse loan</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Interest and forgiveness on recourse loans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pre-funded warrants to purchase common stock in</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connection with private placement, net of issuance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3,055,555</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17,116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17,116</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377,284</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Exercise of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5,264,799</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22,448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22,449</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511,787</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14,555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14,555</w:t>
            </w:r>
          </w:p>
        </w:tc>
        <w:tc>
          <w:tcPr>
            <w:tcW w:w="0" w:type="dxa"/>
            <w:vAlign w:val="bottom"/>
          </w:tcPr>
          <w:p>
            <w:pPr>
              <w:spacing w:after="0"/>
              <w:rPr>
                <w:sz w:val="1"/>
                <w:szCs w:val="1"/>
                <w:color w:val="auto"/>
              </w:rPr>
            </w:pPr>
          </w:p>
        </w:tc>
      </w:tr>
      <w:tr>
        <w:trPr>
          <w:trHeight w:val="160"/>
        </w:trPr>
        <w:tc>
          <w:tcPr>
            <w:tcW w:w="3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(39,191)</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51,288,566</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239,201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131,681</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common stock, net of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10,460,525</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170,772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170,773</w:t>
            </w: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common stock under the 2025 Equity Distribution</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Agreement, net of offering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6,499,935</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78,722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78,723</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Vayu Acquisition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1,494,906</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37,636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37,636</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Short-swing profit disgorgement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2,437,895</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Exercise of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2,315,799</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11,431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11,431</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237,323</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21,252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21,252</w:t>
            </w:r>
          </w:p>
        </w:tc>
        <w:tc>
          <w:tcPr>
            <w:tcW w:w="0" w:type="dxa"/>
            <w:vAlign w:val="bottom"/>
          </w:tcPr>
          <w:p>
            <w:pPr>
              <w:spacing w:after="0"/>
              <w:rPr>
                <w:sz w:val="1"/>
                <w:szCs w:val="1"/>
                <w:color w:val="auto"/>
              </w:rPr>
            </w:pPr>
          </w:p>
        </w:tc>
      </w:tr>
      <w:tr>
        <w:trPr>
          <w:trHeight w:val="16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(101,361)</w:t>
            </w: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(101,361)</w:t>
            </w:r>
          </w:p>
        </w:tc>
        <w:tc>
          <w:tcPr>
            <w:tcW w:w="0" w:type="dxa"/>
            <w:vAlign w:val="bottom"/>
          </w:tcPr>
          <w:p>
            <w:pPr>
              <w:spacing w:after="0"/>
              <w:rPr>
                <w:sz w:val="1"/>
                <w:szCs w:val="1"/>
                <w:color w:val="auto"/>
              </w:rPr>
            </w:pPr>
          </w:p>
        </w:tc>
      </w:tr>
      <w:tr>
        <w:trPr>
          <w:trHeight w:val="170"/>
        </w:trPr>
        <w:tc>
          <w:tcPr>
            <w:tcW w:w="3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Balances at December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74,734,949</w:t>
            </w:r>
          </w:p>
        </w:tc>
        <w:tc>
          <w:tcPr>
            <w:tcW w:w="60" w:type="dxa"/>
            <w:vAlign w:val="bottom"/>
          </w:tcPr>
          <w:p>
            <w:pPr>
              <w:spacing w:after="0"/>
              <w:rPr>
                <w:sz w:val="14"/>
                <w:szCs w:val="14"/>
                <w:color w:val="auto"/>
              </w:rPr>
            </w:pPr>
          </w:p>
        </w:tc>
        <w:tc>
          <w:tcPr>
            <w:tcW w:w="840" w:type="dxa"/>
            <w:vAlign w:val="bottom"/>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559,485</w:t>
            </w:r>
          </w:p>
        </w:tc>
        <w:tc>
          <w:tcPr>
            <w:tcW w:w="6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6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(208,886)</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350,744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r>
      <w:tr>
        <w:trPr>
          <w:trHeight w:val="160"/>
        </w:trPr>
        <w:tc>
          <w:tcPr>
            <w:tcW w:w="8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3"/>
                <w:szCs w:val="13"/>
                <w:color w:val="auto"/>
              </w:rPr>
            </w:pPr>
          </w:p>
        </w:tc>
      </w:tr>
      <w:tr>
        <w:trPr>
          <w:trHeight w:val="24"/>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(101,361)</w:t>
            </w:r>
          </w:p>
        </w:tc>
        <w:tc>
          <w:tcPr>
            <w:tcW w:w="10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(39,191)</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14,555</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&amp; amortization</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8,213</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discount on available-for-sale securities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9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65"/>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effects of businesses acquired:</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Inventory</w:t>
            </w:r>
          </w:p>
        </w:tc>
        <w:tc>
          <w:tcPr>
            <w:tcW w:w="9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r>
      <w:tr>
        <w:trPr>
          <w:trHeight w:val="165"/>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receivables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r>
      <w:tr>
        <w:trPr>
          <w:trHeight w:val="165"/>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liabilities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5"/>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2"/>
        </w:trPr>
        <w:tc>
          <w:tcPr>
            <w:tcW w:w="82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(80,241)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(21,542)</w:t>
            </w:r>
          </w:p>
        </w:tc>
      </w:tr>
      <w:tr>
        <w:trPr>
          <w:trHeight w:val="15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(203,752)</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marketable securities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(37,334)</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(10,252)</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Security deposits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implementation costs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2"/>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(197,999)</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(10,318)</w:t>
            </w:r>
          </w:p>
        </w:tc>
      </w:tr>
      <w:tr>
        <w:trPr>
          <w:trHeight w:val="15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net of offering costs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170,773</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35,849</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the 2025 Equity Distribution Agreement, net of offering costs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77,596</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11,431</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22,449</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options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financing lease liability</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short-swing profit disgorgement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pre-funded warrants to purchase common stock in connection with private placement, net of issuance costs</w:t>
            </w:r>
          </w:p>
        </w:tc>
        <w:tc>
          <w:tcPr>
            <w:tcW w:w="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17,116</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convertible notes payable, net of offering costs</w:t>
            </w:r>
          </w:p>
        </w:tc>
        <w:tc>
          <w:tcPr>
            <w:tcW w:w="9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4,845</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note payable</w:t>
            </w:r>
          </w:p>
        </w:tc>
        <w:tc>
          <w:tcPr>
            <w:tcW w:w="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note payable, related party</w:t>
            </w:r>
          </w:p>
        </w:tc>
        <w:tc>
          <w:tcPr>
            <w:tcW w:w="9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2"/>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261,212</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155,120</w:t>
            </w:r>
          </w:p>
        </w:tc>
      </w:tr>
      <w:tr>
        <w:trPr>
          <w:trHeight w:val="15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 and cash equivalents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(17,028)</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123,260</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123,266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year</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106,239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123,266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2"/>
        </w:trPr>
        <w:tc>
          <w:tcPr>
            <w:tcW w:w="8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 obtained for lease obligations</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w:t>
            </w:r>
          </w:p>
        </w:tc>
        <w:tc>
          <w:tcPr>
            <w:tcW w:w="10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 accrued but not paid</w:t>
            </w: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notes and derivative into common stock</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w:t>
            </w: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OPERATIONS AND BUSINESS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Serve Operating Co. (formerly known as Serve Robotics Inc.) was incorporated in Delaware in January 2021 and is a direct wholly-owned subsidiary of Serve Robotics Inc. Serve Operating Co. holds all material assets and conducts all material business activities and operations of Serve Robotics Inc. All references to “Serve,” the “Company,” “we,” “our,” “us” or similar terms refer to Serve Robotics Inc. together with its wholly-owned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headquartered in Redwood City, California.</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Serve designs, develops, and operates low-emissions robots that serve people in public spaces, starting with food delivery. Serve has developed an advanced, AI-powered robotics mobility platform that integrates proprietary hardware, AI, computer vision, and cloud-based fleet management software to enable autonomous operation in complex, real-world settings.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and Uplisting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17, 2024, the Company entered into an underwriting agreement (the “Underwriting Agreement”) with an underwriter (the “Underwriter”) in connection with the public offering of 10,000,000 shares of the Company’s common stock, par value $0.0001, at a public offering price of $4.00 per share (the “Offering”). The Company’s net proceeds from the Offering, after deducting the underwriting discount and other estimated offering expenses payable by the Company, were approximately $35.8 million. As a result of the Offering, the Company’s common stock was approved for listing on The Nasdaq Capital Market and commenced trading under the ticker symbol “SERV” beginning on April 18, 2024. See Note 10.</w:t>
      </w:r>
    </w:p>
    <w:p>
      <w:pPr>
        <w:spacing w:after="0" w:line="16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wholly-owned subsidiaries. All intercompany transactions and balances have been eliminated in consolidation. The consolidated financial statements have been prepared in accordance with accounting principles generally accepted in the United States of America (“U.S. GAAP”). The Company’s fiscal year end is December 31.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serves as the Company’s CODM. The CODM reviews financial information on a consolidated basis for purposes of making operating decisions, allocating resources, and evaluating financial performance. As such, the Company has one operating and reportable segment. See further information in Note 14.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of December 31, 2025, our principal sources of liquidity were cash and cash equivalents and short-term marketable securities of $233.4 million, which consisted of unrestricted cash and cash equivalents on hand of $106.2 million and $127.2 million in short-term marketable securities. The Company has incurred recurring losses each year since its inception and continues to forecast operating and investing cash outflows.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projections of future cash needs and cash flows may differ from historical results. If current cash on hand, cash equivalents, and cash that may be used or generated from our business operations are insufficient to continue to operate our business, we will implement a plan to reduce operating and investing cash flows through reducing planned revenue growth, planned capital expenditures and planned operating expenses. Future business acquisitions will be evaluated based on whether resulting cash outflows will enable us to operate our business to be able to continue as a going concern.</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Based on these plans, the Company expects it will be able to fund its operations for at least the next twelve months from the issuance of these consolidated financial statements.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and may continue to seek to obtain working capital during our fiscal year 2026 or thereafter through sales of our equity securities or convertible debt or through public or private debt facilities from various financial institutions where possible, though the availability of such funding, and applicable terms, will be dependent on prevailing market conditions.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If we do identify sources for additional funding, the sale of additional equity securities or convertible debt will result in dilution to our stockholders. We can give no assurance that we will generate sufficient cash flows in the future to satisfy our liquidity requirements or sustain future operations in the longer-term, or that other sources of funding, such as sales of equity or debt, would be available or would be approved by our securityholders,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valuation of acquired intangible assets and goodwill, impairment of long-lived assets and goodwill, estimated useful lives of amortizable long-lived assets, fair values of investments and other financial instruments, the incremental borrowing rate applied in lease accounting, allocation of depreciation and wireless network connectivity expenses to cost of revenue, and valuation of stock-based compensation.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Financial instruments, consisting principally of cash and cash equivalents, are potentially subject to credit risk concentration. The Company generally maintains balances in various operating accounts at financial institutions that management believes to be credit 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significant portion of our revenue is concentrated with a limited number of customers. The following table represents the concentration of revenue for all customers that accounted for more than 10% of our revenues for the years ended December 31, 2025 and 2024:</w:t>
      </w:r>
    </w:p>
    <w:p>
      <w:pPr>
        <w:spacing w:after="0" w:line="16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22860</wp:posOffset>
            </wp:positionV>
            <wp:extent cx="20618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 sales as a percentage of total revenues</w:t>
            </w:r>
          </w:p>
        </w:tc>
        <w:tc>
          <w:tcPr>
            <w:tcW w:w="1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4"/>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 sales as a percentage of total revenues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bl>
    <w:p>
      <w:pPr>
        <w:spacing w:after="0" w:line="2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significant portion of our accounts receivable is concentrated with a limited number of customers. The following table represents the concentration of accounts receivable for all customers that account for more than 10% of our total accounts receivable as of December 31, 2025 and 2024:</w:t>
      </w:r>
    </w:p>
    <w:p>
      <w:pPr>
        <w:spacing w:after="0" w:line="16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22860</wp:posOffset>
            </wp:positionV>
            <wp:extent cx="20618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 receivables as a percentage of total accounts receivable</w:t>
            </w:r>
          </w:p>
        </w:tc>
        <w:tc>
          <w:tcPr>
            <w:tcW w:w="1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 receivables as a percentage of total accounts receivable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 receivables as a percentage of total accounts receivable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D receivables as a percentage of total accounts receivable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E receivables as a percentage of total accounts receivable</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710"/>
        </w:trPr>
        <w:tc>
          <w:tcPr>
            <w:tcW w:w="9140" w:type="dxa"/>
            <w:vAlign w:val="bottom"/>
            <w:gridSpan w:val="2"/>
          </w:tcPr>
          <w:p>
            <w:pPr>
              <w:ind w:left="5540"/>
              <w:spacing w:after="0"/>
              <w:rPr>
                <w:sz w:val="20"/>
                <w:szCs w:val="20"/>
                <w:color w:val="auto"/>
              </w:rPr>
            </w:pPr>
            <w:r>
              <w:rPr>
                <w:rFonts w:ascii="Times New Roman" w:cs="Times New Roman" w:eastAsia="Times New Roman" w:hAnsi="Times New Roman"/>
                <w:sz w:val="14"/>
                <w:szCs w:val="14"/>
                <w:color w:val="auto"/>
              </w:rPr>
              <w:t>F-9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6"/>
        </w:trPr>
        <w:tc>
          <w:tcPr>
            <w:tcW w:w="80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Acquisition-related costs are costs that the Company incurs to effect a business combination, such as advisory, legal, accounting, valuation, and consulting fees. These costs are expensed as incurred.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$2.0 million of acquisition costs during the year ended December 31, 2025. Acquisition costs recognized in the year ended December 31, 2024 were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highly liquid investments with maturities of three months or less at the date of purchase to be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Marketable securities primarily consist of certificates of deposit, commercial paper, U.S. government agency securities, U.S. Treasury securities, corporate bonds and mutual funds. The Company invests in a diversified portfolio of marketable securities and limits the concentration of its investment in any particular security. Securities with maturities greater than three months but less than one year are included in current assets, and securities with maturities greater than one year are included in non-current assets on the consolidated balance sheets. All marketable securities are classified as available-for-sale and reported at fair value.</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estimated fair value of an available-for-sale debt security is below its amortized cost basis, the Company evaluates the security for impairment. The Company considers its intent to sell the security or whether it is more likely than not that it will be required to sell the security before recovery of its amortized cost basis. If either of these criteria are met, the debt security’s amortized cost basis is written down to fair value through other expense, net in the consolidated statements of operations. If neither of these criteria are met, the Company evaluates whether unrealized losses have resulted from a credit loss or other factors. The factors considered in determining whether a credit loss exists include the extent to which fair value is less than the amortized cost basis, changes to the rating of the security by a rating agency, adverse conditions specifically related to the security, and other factors. An impairment relating to credit losses is recorded through an allowance for credit losses reported in other expense, net in the consolidated statements of operations. The allowance is limited to the amount by which the fair value of the debt security is below its amortized cost basis. When a credit loss exists, the Company compares the present value of cash flows expected to be collected from the debt security with the amortized cost basis of the security to determine what allowance amount, if any, should be recorded. Unrealized losses not resulting from credit losses are recorded in accumulated other comprehensive income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three levels of the fair value hierarchy, of which the first two are considered observable and the last is considered unobservable:</w:t>
      </w:r>
    </w:p>
    <w:p>
      <w:pPr>
        <w:spacing w:after="0" w:line="179"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the Company’s accounts receivable, prepaid expenses and accounts payable and accrued expenses approximate their fair values due to the short-term nature of these assets and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for additional information regarding fair value measurements.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Accounts receivable are derived from services delivered to customers and reported net of allowance. Each month, the Company reviews its receivables on a customer-by-customer basis and evaluates whether an allowance for credit loss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2025 and 2024, the Company determined that the allowance for credit losses was immaterial.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expense is recognized using the straight-line method over the estimated useful life of the asset, which is three</w:t>
      </w:r>
    </w:p>
    <w:p>
      <w:pPr>
        <w:spacing w:after="0" w:line="23" w:lineRule="exact"/>
        <w:rPr>
          <w:sz w:val="20"/>
          <w:szCs w:val="20"/>
          <w:color w:val="auto"/>
        </w:rPr>
      </w:pPr>
    </w:p>
    <w:p>
      <w:pPr>
        <w:jc w:val="both"/>
        <w:ind w:firstLine="5"/>
        <w:spacing w:after="0" w:line="257" w:lineRule="auto"/>
        <w:tabs>
          <w:tab w:leader="none" w:pos="21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for office equipment and four (4) years for the Company’s robot assets, and the shorter of the remaining lease term or estimated useful life for leasehold improvements. Estimated useful lives are routinely assessed by management for accuracy. Maintenance and repairs are charged to expense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in the period of disposal.</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certain amounts previously categorized as inventory were reclassified as property and equipment. The reclassification had an immaterial impact on our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leases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Company has elected not to apply the recognition requirements to leases with a term of twelve months or less. The Company does not separate non-lease components from lease components.</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is a lease, or includes an embedded lease, at inception for each contract or agreement. A contract is or contains an embedded lease if the contract meets all of the following criteria:</w:t>
      </w:r>
    </w:p>
    <w:p>
      <w:pPr>
        <w:spacing w:after="0" w:line="124" w:lineRule="exact"/>
        <w:rPr>
          <w:sz w:val="20"/>
          <w:szCs w:val="20"/>
          <w:color w:val="auto"/>
        </w:rPr>
      </w:pPr>
    </w:p>
    <w:p>
      <w:pPr>
        <w:ind w:left="500" w:hanging="240"/>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identified asset</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obtains substantially all of the economic benefits of the asset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right to direct the use of the asset</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operating lease agreements include office and warehouse space, and cargo vans. Right-of-use assets (“ROU assets”) represent the right to use an underlying asset for the lease term and operating lease liabilities represent the obligation to make payments arising from the lease or embedded lease. Operating lease ROU assets and operating lease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liabilities are recognized at the commencement date based on the present value of the future minimum lease payments over the lease term. Operating lease ROU assets are based on the operating lease liabilities adjusted for prepayments, initial direct costs, lease incentives, and impairment of operating lease assets. As most leases do not provide an implicit rate, the Company uses an incremental borrowing rate based on the estimated rate of interest for a collateralized borrowing of a similar asset, with a similar term to the lease payments at the commencement date.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operating lease ROU assets and operating lease liabilities include lease payments made, including variable amounts that are based on an index or rate, and exclude lease incentives. Variability that is not due to an index or rate, such as payments made based on usage or hourly rates (e.g., common area maintenance, utilities, real estate taxes or other costs) is excluded from the lease liability. Lease terms may include options to extend or terminate the lease.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Renewal option periods are included within the lease term and the associated payments are recognized in the measurement of the operating ROU asset and operating lease liability when exercise is at our discretion and is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Intangible assets primarily result from acquisitions. The accounting for acquisitions requires significant estimates and judgments based on assumptions that are believed to be reasonable. Intangible assets consist of developed technology, customer relationships, and trade names. Intangible assets are recorded at fair value as of the date of acquisition and amortized using a method consistent with the pattern of benefit, which is typically on a straight-line basis over their estimated useful lives, generally 5 to 25 years. The Company reviews identifiable amortizable intangible assets for impairment under the long-lived asset model described under “Impairment of Long-Lived Assets”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Long-lived assets consist primarily of property and equipment, ROU assets, and definite-lived intangible assets, net. The Company evaluates its long-lived assets for impairment when events or changes in circumstances indicate the carrying amount of an asset or asset group (collectively, the “asset group”) may not be recoverable. An asset group represents the lowest level for which cash flows can be identified. Recoverability is measured by comparing the book value of the asset group to the expected future net undiscounted cash flows that the asset group is expected to generate. If we consider the asset group to be impaired, the impairment to be recognized equals the amount by which the carrying value of the asset group exceeds its fair value. Assets to be disposed of are reported at the lower of the carrying amount or the fair value less costs to sell. The Company did not recognize any impairment during the years ended December 31, 2025 or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Goodwill is recorded in connection with a business combination. The assets acquired and liabilities assumed are recognized at their fair value as of the acquisition date. Goodwill represents the excess of the purchase price over the estimated fair value of the net tangible and intangible assets acquired. Goodwill is not amortized but is tested for impairment at least annually or more frequently if events or changes in circumstances indicate that the asset may be impaired. The Company’s impairment tests are based on a single operating segment and reporting unit structure. If the carrying value of the reporting unit exceeds its fair value, an impairment charge is recognized for the excess of the carrying value of the reporting unit over its fair value.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 Company’s annual goodwill impairment test, the fair value of the reporting unit exceeded its carrying value. As such, no goodwill impairment charge was recorded in any of the periods presented in the accompanying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Cloud Computing Arrangements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Cloud computing arrangements include services used to support certain internal corporate functions. The Company capitalizes costs incurred to implement cloud computing arrangements that are service contracts and records such amounts within other non-current assets on the consolidated balance sheets. These capitalized implementation costs are amortized on a straight-line basis over the expected term of the hosting arrangement, which is typically three years. The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assesses the recoverability of capitalized implementation costs in accordance with the policy disclosed under </w:t>
      </w:r>
      <w:r>
        <w:rPr>
          <w:rFonts w:ascii="Times New Roman" w:cs="Times New Roman" w:eastAsia="Times New Roman" w:hAnsi="Times New Roman"/>
          <w:sz w:val="14"/>
          <w:szCs w:val="14"/>
          <w:i w:val="1"/>
          <w:iCs w:val="1"/>
          <w:color w:val="auto"/>
        </w:rPr>
        <w:t>Impairment of Long-Lived Assets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2025 and 2024, there were no deferred offering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Instruments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U.S. GAAP requires companies to bifurcate conversion options from their host instruments and account for them as free-standing derivative financial instruments when specified criteria are met, unless an exception applies for conventional host instruments. The Company evaluates its convertible instruments, options, warrants or other contracts to determine whether embedded components require separate derivative accounting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result of this accounting treatment is that the fair value of the derivative is marked-to-market at each balance sheet date and recorded as a liability. In the event that the fair value is recorded as a liability, the change in fair value is recorded in the consolidated statements of operations as other income (expense). Upon conversion or exercise of a derivative instrument, the instrument is marked to fair value at the conversion date and then that fair value is reclassified to equity. Equity instruments that are initially classified as equity and subsequently become subject to reclassification under ASC 815 are reclassified to liabilities at the fair value of the instrument on the reclassification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is involved in various lawsuits, claims, investigations, and proceedings that arise in the ordinary course of business. Certain of these matters include speculative claims for substantial or indeterminate amounts of damages. The Company records a liability when it is determined that it is both probable that a loss has been incurred and the amount can be reasonably estimated. If the Company determines that a loss is reasonably possible and the loss or range of loss can be reasonably estimated, the Company discloses the possible loss in the notes to the consolidated financial statements. Significant judgment is required to determine both probability and the estimated amount. The Company reviews these provisions on a quarterly basis and adjusts these provisions accordingly to reflect the impact of negotiations, settlements, rulings, advice of legal counsel, and updated information. Legal fees and other costs associated with such actions are expensed as incurred.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other comprehensive income (loss) primarily consists of unrealized gains and losses on available-for-sale marketable securities and foreign currency translation adjustments.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Available-for-sale securities are reported at fair value, with unrealized gains and losses included as a separate component of stockholders’ equity within accumulated other comprehensive income (loss).</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financial statements of the Company’s non-U.S. subsidiaries are translated from their functional currency, which is typically the local currency, into U.S. dollars. Assets and liabilities are translated at period end exchange rates, and revenue and expenses are translated using average monthly exchange rates. The resulting gain or loss is included in accumulated other comprehensive income (loss) on the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The Company accounts for stock-based compensation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using the straight-line method. For awards with performance-based vesting conditions, the Company records the expense if and when the Company concludes that it is probable that the performance condition will be achieved.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option-pricing model. We estimate the volatility of common stock on the date of grant based on the weighted-average historical stock price volatility of our own shares or comparable publicly traded companies in our industry group.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reflects the Company’s history of not paying cash dividends on common stock and its expectation that it will not pay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revenue in accordance with ASC 606</w:t>
      </w:r>
      <w:r>
        <w:rPr>
          <w:rFonts w:ascii="Times New Roman" w:cs="Times New Roman" w:eastAsia="Times New Roman" w:hAnsi="Times New Roman"/>
          <w:sz w:val="14"/>
          <w:szCs w:val="14"/>
          <w:i w:val="1"/>
          <w:iCs w:val="1"/>
          <w:color w:val="auto"/>
        </w:rPr>
        <w:t>, Revenue from Contracts with Customers</w:t>
      </w:r>
      <w:r>
        <w:rPr>
          <w:rFonts w:ascii="Times New Roman" w:cs="Times New Roman" w:eastAsia="Times New Roman" w:hAnsi="Times New Roman"/>
          <w:sz w:val="14"/>
          <w:szCs w:val="14"/>
          <w:color w:val="auto"/>
        </w:rPr>
        <w:t xml:space="preserve"> (“ASC 606”). The Company determines revenue recognition through the following steps:</w:t>
      </w:r>
    </w:p>
    <w:p>
      <w:pPr>
        <w:spacing w:after="0" w:line="181"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a contract with a customer;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performance obligations are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is measured based on the amount that reflects the consideration we expect to receive, which is based on the amount specified in the contract with our customer. Revenue is recognized when the performance obligations under the terms of the contract are satisfied, which generally occurs as control of the promised goods or services is transferred to customers. If appropriate under ASC 606, we allocate the transaction price to individually distinct performance obligations based on the relative standalone selling prices of the distinct good or service.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revenue on its fleet services when the performance obligation is satisfied. The fleet performs delivery services, branding services, and data monetization. For delivery services, the Company satisfies its performance obligation when the delivery is complete, which is the point in time control of the delivered product transfers to the customer. The Company’s performance obligation on branding services is to continually promote a brand over the duration of the contractual term, which is typically less than one year. The Company primarily recognizes branding revenue in the amount that it has the right to invoice as branding services are rendered. For data monetization arrangements, the Company satisfies its performance obligation upon the customer’s acceptance of the data transfer, at which time control of the data is deemed to have transferred to the customer.</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revenue on its software services over time based on the contract term. The Company determines measurable performance obligations, which are assessed on a contract by contract basis. The Company develops certain measures to estimate the progress of the performance obligation at each reporting period end. Software service fees that have been invoiced or paid but performance obligations have not been met are recorded as deferred revenue.As of December 31, 2025 and 2024, the Company had $1.8 thousand and $20.1 thousand, respectively, in deferred revenue pertaining to software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depreciation allocated to on-duty robot assets, direct labor, and other direct costs related to data, software, and services required for the robots to operate as intended.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allocates the portion of depreciation expense and network costs recognized during each period based on fleet utilization. Fleet utilization is determined using the number of hours that a robot is actively completing a delivery compared to the total hours a robot is available for service. Fully depreciated assets are excluded from the calculation of utilization.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Direct labor costs are allocated to cost of revenue based on departments or resource with direct contact involvement. Each contract is assessed to determine which personnel will be directly involved in delivery of performance obligations. Direct labor typically includes roles in fleet management, hardware operations, and software engineering.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 Expenses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expenses represent costs incurred for sales and marketing functions, which consists primarily of product marketing costs, including branding, and employee compensation costs, including salaries, benefits, and stock-based compensation for sales and marketing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Expenses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Operations expenses represent costs incurred for operations functions, which primarily consist of compensation costs, including stock based compensation, for field operations personnel that support the operation of our robot fleet, and lease expense associated with the facilities to operate our robot fleets.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represent costs incurred for general and administrative functions, which primarily consists of personnel compensation costs, including stock-based compensation for executive management and administrative functions, including finance and accounting, legal, and human resources, as well as general corporate expenses and general insurance. These costs are expensed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represent costs incurred for research and development functions, which consists primarily of personnel compensation costs, including stock based compensation, for employees in engineering, design and product development, and prototype materials (hardware and software) costs incurred during the product design process. Substantially all of the Company’s research and development expenses are related to developing new products and services, improving existing products and services, and developing product production processes. These costs are expensed as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costs are expensed as incurred and recorded within operating expenses on our consolidated statements of operations. The Company recognized $0.2 million and $0.4 million of advertising expense for the years ended December 31,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Deferred income tax assets and liabilities are based on the temporary differences between the financial reporting basis and the income tax basis of the Company’s assets and liabilities using currently enacted tax rates and laws. Valuation allowances are established to reduce deferred tax assets to the amount ultimately expected to be realized. The realization of deferred tax assets is dependent upon the generation of taxable income during the periods in which those temporary differences become deductible for income tax purposes. Management considers the scheduled reversal of deferred tax liabilities, projected future taxable income, and tax-planning strategies in assessing the realizability of deferred tax assets. The Company will continue to evaluate its valuation allowance requirements in light of changing facts and circumstances and may adjust its deferred tax valuation allowances accordingly. It is reasonably possible that the Company will either add to or reverse a portion of its existing deferred tax asset valuation allowance in the future.</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second step requires the Company to estimate and measure the tax benefit as the largest amount that is more than 50% likely to be realized upon ultimate settlement. It is inherently difficult and subjective to estimate such amounts, as the Company must determine the probability of various possible outcomes. The Company evaluates these uncertain tax positions on a quarterly basis or when new information becomes available to management. The evaluations are based on factors including, but not limited to, changes in facts or circumstances, changes in tax law, the successful settlement of issues under audit and new audit activity. Such a change in recognition or measurement could result in the recognition of a tax benefit or an increase in the related provision.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includes interest and penalties related to income tax liabilities in benefit from income taxes in the Company’s consolidated statements of operations and comprehensive loss. Liabilities for income taxes payable, accrued interest and penalties that are due within one year of the balance sheet date are included in other current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weighted average number of shares issued and outstanding during the period, adjusted for potentially dilutive securities outstanding. Potentially dilutive securities are excluded from the computation of diluted net loss per share if their inclusion would be anti-dilutive. As all potentially dilutive securities were anti-dilutive as of December 31, 2025 and 2024, diluted net loss per share is the same as basic net loss per share for each year. Potentially dilutive items outstanding as of December 31, 2025 and 2024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5,079,294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3,340,011</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826,539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1,022,291</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subject to recourse and nonrecourse loans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108,008</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7,217,790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5,362,326</w:t>
            </w:r>
          </w:p>
        </w:tc>
      </w:tr>
      <w:tr>
        <w:trPr>
          <w:trHeight w:val="223"/>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potentially dilutive shares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13,170,456</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9,832,636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to U.S. GAAP are established by the Financial Accounting Standards Board (FASB), in the form of an Accounting Standards Updates (ASU), to the FASB’s ASC. The Company will adopt these changes according to the various timetables the FASB specifies. There were no recently adopted accounting standards which had a material impact on the Company’s consolidated financial position, results of operations, changes in stockholders’ equity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Adopted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 Improvements to Reportable Segment Disclosures,” which enables investors to better understand an entity’s overall performance through enhanced disclosures about significant segment expenses. The guidance enhances interim disclosure requirements, clarifies circumstances in which an entity can disclose multiple segment measures of profit or loss, and provides new segment disclosure requirements for entities with a single reportable segment. The Company adopted the provisions of ASU 2023-07 as of December 31, 2024. Refer to Note 14 for additional information.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We prospectively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adopted ASU 2023-09 as of December 31, 2025. The additional required disclosures did not have a material impact on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statements of operations. ASU 2024-03 is effective for annual reporting periods beginning after December 15, 2026, and interim periods within annual reporting periods beginning after December 15, 2027, and may be applied either prospectively or retrospectively. Early adoption is permitted. The adoption will require certain additional disclosure in the notes to the Company’s consolidated financial statements.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May 2025, the FASB issued ASU 2025-03, “Business Combinations (Topic 805) and Consolidation (Topic 810): Determining the Accounting Acquirer in the Acquisition of a Variable Interest Entity,” which provides updates to the guidance for identifying the “accounting acquirer” in business combinations involving Variable Interest Entities (VIEs). ASU 2025-03 is effective for annual periods beginning after December 15, 2026. The Company is evaluating the impact of this standard, but it does not expect the standard to have an impact on its financial statements and related disclosures.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July 2025, the FASB issued ASU 2025-05, “Financial Instruments-Credit Losses (Topic 326): Measurement of Credit Losses for Accounts Receivable and Contract Assets,”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The Company is evaluating the impact of this standard on its financial statements and related disclosures.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which removes all references to prescriptive and sequential software development stages and establishes new criteria for the capitalization of internal-use software costs. ASU 2025-06 is effective for annual periods beginning after December 15, 2027, and interim periods within annual periods beginning after December 15, 2027. Early adoption is permitted. The Company is currently evaluating the impact of the adoption of this guidance on its consolidated financial statements and disclosures.</w:t>
      </w:r>
    </w:p>
    <w:p>
      <w:pPr>
        <w:spacing w:after="0" w:line="13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REVENUE</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is generated from the Company’s operations in the United States. The following table presents our revenues disaggregated by service type. This level of disaggregation takes into consideration how the nature, amount, timing, and uncertainty of revenue and cash flows are affected by economic factors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187"/>
        </w:trPr>
        <w:tc>
          <w:tcPr>
            <w:tcW w:w="8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17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Fleet services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Software services</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r>
      <w:tr>
        <w:trPr>
          <w:trHeight w:val="19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Fleet Services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derives revenue from its fleet of autonomous robots by offering delivery services, branding services, and data monetization. Delivery service revenue is derived from partnerships with delivery platforms to fulfill orders using the fleet of Serve robots. Branding service revenue is derived from fees paid by customers for the display of their company’s branding on Serve robots and/or by reserving robots for appearances at marketing opportunities. Data monetization revenue is derived from fees paid by customers for the transfer of data collected by the fleet.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Software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Software services revenue is derived from licensing software to customers, and engineering and development projects. Software licensing generates revenue from fees paid by customers for access to the Company’s proprietary software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platforms and/or hosting services. Engineering and development project revenue is derived from partnerships for the development of software solutions utilizing the internally developed technology platform.</w:t>
      </w:r>
    </w:p>
    <w:p>
      <w:pPr>
        <w:spacing w:after="0" w:line="12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4.</w:t>
        <w:tab/>
        <w:t>ACQUISITIONS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Voysys AB Acquisition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April 1, 2025, (the “Voysys Closing Date”), the Company acquired from Phantom Auto Inc., a Delaware corporation (“Phantom”) (i) all of the issued and outstanding equity of Voysys AB, a limited liability company duly incorporated and organized under the laws of Sweden (“Voysys”) and (ii) certain intellectual property, including registered patents, of Phantom. The acquisition was accounted for under the acquisition method of accounting. Voysys is a Swedish pioneer in ultra-low latency video streaming, connectivity, and teleoperation technology. The Company’s acquisition of Voysys enhances Serve’s technology stack to support its rapidly growing fleet of autonomous delivery robots.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allocated the fair value of the purchase price consideration to the tangible assets, liabilities, and intangible assets acquired, based on their estimated fair values. The excess of the purchase price over those fair values is recorded as goodwill. The Company’s valuation assumptions of acquired assets and assumed liabilities require significant estimates, particularly for intangible assets. The acquired company’s intangible assets consist of customer relationships, trade name, and developed technology. The estimated fair value of customer relationships, trade name, and developed technology were determined using the multi-period excess earnings method and the relief from royalty method. Both methods require forward-looking estimates that are discounted to determine the fair value of the intangible asset using a risk-adjusted discount rate that is reflective of the level of risk associated with future estimates associated with the asset group, which could be affected by future economic and market conditions. The estimated fair value of the developed technology is also dependent on the selection of the royalty rate used in the valuation method.</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total purchase consideration was approximately $5.7 million in cash consideration. The goodwill of $4.3 million arising from the acquisition is attributed to the expected synergies, including future cost savings, and other benefits expected to be generated. Substantially all of the goodwill recognized is not expected to be deductible for tax purposes.</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Acquisition related costs represent costs incurred for professional fees and other direct acquisition costs. These costs are recorded within general, and administrative expense in our consolidated statements of operations. In connection with the acquisition of Voysys, the Company recorded an insignificant amount of acquisition-related costs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allocation of the purchase price, based on the estimated fair value of the assets acquired and liabilities assumed as of the Voysys Closing Date,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April 1, 2025</w:t>
            </w:r>
          </w:p>
        </w:tc>
        <w:tc>
          <w:tcPr>
            <w:tcW w:w="0" w:type="dxa"/>
            <w:vAlign w:val="bottom"/>
          </w:tcPr>
          <w:p>
            <w:pPr>
              <w:spacing w:after="0"/>
              <w:rPr>
                <w:sz w:val="1"/>
                <w:szCs w:val="1"/>
                <w:color w:val="auto"/>
              </w:rPr>
            </w:pP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 paid</w:t>
            </w: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Escrow amount</w:t>
            </w:r>
          </w:p>
        </w:tc>
        <w:tc>
          <w:tcPr>
            <w:tcW w:w="2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price</w:t>
            </w: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0" w:type="dxa"/>
            <w:vAlign w:val="bottom"/>
          </w:tcPr>
          <w:p>
            <w:pPr>
              <w:spacing w:after="0"/>
              <w:rPr>
                <w:sz w:val="1"/>
                <w:szCs w:val="1"/>
                <w:color w:val="auto"/>
              </w:rPr>
            </w:pPr>
          </w:p>
        </w:tc>
      </w:tr>
      <w:tr>
        <w:trPr>
          <w:trHeight w:val="212"/>
        </w:trPr>
        <w:tc>
          <w:tcPr>
            <w:tcW w:w="7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8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identifiable assets acquired</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identifiable liabilities assumed</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Fair value of identifiable assets, net of identifiable liabilities assumed</w:t>
            </w:r>
          </w:p>
        </w:tc>
        <w:tc>
          <w:tcPr>
            <w:tcW w:w="2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intangible assets acquired (in thousands) and their estimated useful life as of the date of acquisition (in years):</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5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 Useful Life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April 1, 2025</w:t>
            </w:r>
          </w:p>
        </w:tc>
        <w:tc>
          <w:tcPr>
            <w:tcW w:w="0" w:type="dxa"/>
            <w:vAlign w:val="bottom"/>
          </w:tcPr>
          <w:p>
            <w:pPr>
              <w:spacing w:after="0"/>
              <w:rPr>
                <w:sz w:val="1"/>
                <w:szCs w:val="1"/>
                <w:color w:val="auto"/>
              </w:rPr>
            </w:pPr>
          </w:p>
        </w:tc>
      </w:tr>
      <w:tr>
        <w:trPr>
          <w:trHeight w:val="171"/>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1"/>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intangible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Vayu Acquisition</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August 14, 2025, the Company entered into an Agreement and Plan of Merger by and among the Company, Valencia Merger Sub I Inc., a Delaware corporation and the Company’s direct wholly-owned subsidiary (“Valencia Merger Sub I”), Valencia Merger Sub II LLC, a Delaware limited liability company and the Company’s direct wholly-owned subsidiary (“Valencia Merger Sub II”), Vayu and certain of Vayu’s securityholders (the “Vayu Merger Agreement”).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Pursuant to the Vayu Merger Agreement, on August 15, 2025 (the “Vayu Closing Date”), (i) Valencia Merger Sub I merged with and into Vayu, with Vayu surviving as a direct wholly-owned subsidiary of the Company and (ii) Vayu subsequently merged with and into Valencia Merger Sub II, with Valencia Merger Sub II surviving the merger. In connection with the closing of the transactions contemplated by the Vayu Merger Agreement, the Company acquired all of the issued and outstanding equity of Vayu, which was accounted for under the acquisition method of accounting. Vayu is a pioneer in urban robot navigation using large-scale AI models, and the Company’s acquisition of Vayu supports the adoption of advanced AI-driven autonomy by integrating Vayu’s foundation model technology and simulation capabilities.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The total fair value of consideration paid in connection with the acquisition of Vayu consisted of the following:</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860" w:type="dxa"/>
            <w:vAlign w:val="bottom"/>
          </w:tcPr>
          <w:p>
            <w:pPr>
              <w:spacing w:after="0"/>
              <w:rPr>
                <w:sz w:val="24"/>
                <w:szCs w:val="24"/>
                <w:color w:val="auto"/>
              </w:rPr>
            </w:pP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24"/>
                <w:szCs w:val="2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4"/>
                <w:szCs w:val="24"/>
                <w:color w:val="auto"/>
              </w:rPr>
            </w:pPr>
          </w:p>
        </w:tc>
        <w:tc>
          <w:tcPr>
            <w:tcW w:w="15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Total Consideration (in</w:t>
            </w:r>
          </w:p>
        </w:tc>
        <w:tc>
          <w:tcPr>
            <w:tcW w:w="0" w:type="dxa"/>
            <w:vAlign w:val="bottom"/>
          </w:tcPr>
          <w:p>
            <w:pPr>
              <w:spacing w:after="0"/>
              <w:rPr>
                <w:sz w:val="1"/>
                <w:szCs w:val="1"/>
                <w:color w:val="auto"/>
              </w:rPr>
            </w:pPr>
          </w:p>
        </w:tc>
      </w:tr>
      <w:tr>
        <w:trPr>
          <w:trHeight w:val="186"/>
        </w:trPr>
        <w:tc>
          <w:tcPr>
            <w:tcW w:w="68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outstanding shares of Vayu common and preferred stock</w:t>
            </w: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working capital adjustment</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common shares issuable to Vayu common and preferred stockholders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1,539,906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warrants issued to Vayu SAFE holder, Khosla Ventures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Replacement equity awards attributable to pre-combination service</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71"/>
        </w:trPr>
        <w:tc>
          <w:tcPr>
            <w:tcW w:w="6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purchase price consideration</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The estimated fair value of the developed technology was determined using the cost method, which estimates the value of an asset based on the current cost to replace or reproduce it, adjusted for physical deterioration, functional obsolescence, and economic factors. This method reflects the amount a market participant would need to invest to create an asset of comparable utility, considering current technology and development costs.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total purchase consideration was approximately $39.5 million of cash, common stock, warrant, and replacement equity awards. The preliminary goodwill of $11.2 million arising from the acquisition is attributed to the expected synergies, including innovation synergies, and other benefits expected to be generated. Substantially all of the goodwill recognized is not expected to be deductible for tax purposes. The estimated fair value of the warrants was determined using the Black-Scholes model. The estimated fair value of the replacement equity awards attributable to pre-combination service was determined using the binomial lattice model.</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connection with Vayu Merger Agreement, the Company granted performance-based RSUs (“PRSUs”). 880,001 PRSUs were granted to certain employees and 560,000 PRSUs were granted to certain shareholders. All PRSUs will vest or commence vesting upon achievement of a specified operational target (the “Milestone”) by December 31, 2026 (the “Milestone Date”). In addition, the PRSUs may be subject to a continuous service condition.</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Related to the acquisition of Vayu, the Company recorded $1.4 million of acquisition-related costs to general and administrative expenses on the consolidated statements of operations in the year ended December 31, 2025.</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Certain data necessary to complete the purchase price allocation remains preliminary. The Company expects to complete the purchase price allocation within 12 months of the Vayu Closing Date, at which time the purchase price allocation set forth herein may be revised. The Company does not expect these revisions to be material. The Company utilized widely accepted income-based, market-based, and cost-based valuation approaches to perform the preliminary purchase price allocation.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quarter ended December 31, 2025, the Company recorded $3.8 million of deferred tax liabilities and correlating increase to goodwill in the preliminary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preliminary allocation of the purchase price, based on the estimated fair value of the assets acquired and liabilities assumed as of the Vayu Closing Date,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August 15, 2025</w:t>
            </w:r>
          </w:p>
        </w:tc>
      </w:tr>
      <w:tr>
        <w:trPr>
          <w:trHeight w:val="171"/>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 price consideration</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39,511</w:t>
            </w:r>
          </w:p>
        </w:tc>
      </w:tr>
      <w:tr>
        <w:trPr>
          <w:trHeight w:val="212"/>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9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9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32,439</w:t>
            </w:r>
          </w:p>
        </w:tc>
      </w:tr>
      <w:tr>
        <w:trPr>
          <w:trHeight w:val="171"/>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identifiable assets acquired</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32,502</w:t>
            </w:r>
          </w:p>
        </w:tc>
      </w:tr>
      <w:tr>
        <w:trPr>
          <w:trHeight w:val="212"/>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9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180"/>
        </w:trPr>
        <w:tc>
          <w:tcPr>
            <w:tcW w:w="9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9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Deferred tax liability</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w:t>
            </w:r>
          </w:p>
        </w:tc>
      </w:tr>
      <w:tr>
        <w:trPr>
          <w:trHeight w:val="171"/>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identifiable liabilities assumed</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r>
      <w:tr>
        <w:trPr>
          <w:trHeight w:val="212"/>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identifiable assets, net of identifiable liabilities assumed</w:t>
            </w: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28,308</w:t>
            </w:r>
          </w:p>
        </w:tc>
      </w:tr>
      <w:tr>
        <w:trPr>
          <w:trHeight w:val="171"/>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11,203</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preliminary components of intangible assets acquired (in thousands) and their estimated useful life as of the date of acquisition (in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Useful Life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August 15, 2025</w:t>
            </w:r>
          </w:p>
        </w:tc>
      </w:tr>
      <w:tr>
        <w:trPr>
          <w:trHeight w:val="171"/>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32,439</w:t>
            </w:r>
          </w:p>
        </w:tc>
      </w:tr>
      <w:tr>
        <w:trPr>
          <w:trHeight w:val="6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 NET</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9"/>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Goodwill represents the excess of the cost over the net tangible and identifiable intangible assets of acquired businesses.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changes in the carrying amount of goodwill during the year ended December 31, 2025 were as follows (in thousands):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1"/>
        </w:trPr>
        <w:tc>
          <w:tcPr>
            <w:tcW w:w="7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Acquisitions</w:t>
            </w: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15,530</w:t>
            </w: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Identifiable intangible assets acquired in business combinations are recorded based upon fair value at the date of acquisition. Carrying values are adjusted to reflect the impacts of foreign currency.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 as of December 31, 2025 (in thousands):</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4"/>
                <w:szCs w:val="2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40" w:type="dxa"/>
            <w:vAlign w:val="bottom"/>
          </w:tcPr>
          <w:p>
            <w:pPr>
              <w:spacing w:after="0"/>
              <w:rPr>
                <w:sz w:val="24"/>
                <w:szCs w:val="24"/>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60" w:type="dxa"/>
            <w:vAlign w:val="bottom"/>
          </w:tcPr>
          <w:p>
            <w:pPr>
              <w:spacing w:after="0"/>
              <w:rPr>
                <w:sz w:val="24"/>
                <w:szCs w:val="24"/>
                <w:color w:val="auto"/>
              </w:rPr>
            </w:pPr>
          </w:p>
        </w:tc>
        <w:tc>
          <w:tcPr>
            <w:tcW w:w="15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33,419</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30,940</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33,809</w:t>
            </w:r>
          </w:p>
        </w:tc>
        <w:tc>
          <w:tcPr>
            <w:tcW w:w="8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31,313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Developed technology intangible assets are being amortized over 5 to 15 years. Customer relationships are being amortized over 25 years. Trade name intangible assets are being amortized over 10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associated with the intangible assets was $2.5 million and zero for the years ended December 31, 2025 and 2024,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future amortization expense of intangible assets as of December 31, 2025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80" w:type="dxa"/>
            <w:vAlign w:val="bottom"/>
          </w:tcPr>
          <w:p>
            <w:pPr>
              <w:spacing w:after="0"/>
              <w:rPr>
                <w:sz w:val="14"/>
                <w:szCs w:val="14"/>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80" w:type="dxa"/>
            <w:vAlign w:val="bottom"/>
          </w:tcPr>
          <w:p>
            <w:pPr>
              <w:spacing w:after="0"/>
              <w:rPr>
                <w:sz w:val="15"/>
                <w:szCs w:val="15"/>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80" w:type="dxa"/>
            <w:vAlign w:val="bottom"/>
          </w:tcPr>
          <w:p>
            <w:pPr>
              <w:spacing w:after="0"/>
              <w:rPr>
                <w:sz w:val="15"/>
                <w:szCs w:val="15"/>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80" w:type="dxa"/>
            <w:vAlign w:val="bottom"/>
          </w:tcPr>
          <w:p>
            <w:pPr>
              <w:spacing w:after="0"/>
              <w:rPr>
                <w:sz w:val="15"/>
                <w:szCs w:val="15"/>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80" w:type="dxa"/>
            <w:vAlign w:val="bottom"/>
          </w:tcPr>
          <w:p>
            <w:pPr>
              <w:spacing w:after="0"/>
              <w:rPr>
                <w:sz w:val="15"/>
                <w:szCs w:val="15"/>
                <w:color w:val="auto"/>
              </w:rPr>
            </w:pPr>
          </w:p>
        </w:tc>
      </w:tr>
      <w:tr>
        <w:trPr>
          <w:trHeight w:val="18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5"/>
                <w:szCs w:val="15"/>
                <w:color w:val="auto"/>
              </w:rPr>
            </w:pPr>
          </w:p>
        </w:tc>
      </w:tr>
      <w:tr>
        <w:trPr>
          <w:trHeight w:val="196"/>
        </w:trPr>
        <w:tc>
          <w:tcPr>
            <w:tcW w:w="4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estimated future amortization expense</w:t>
            </w:r>
          </w:p>
        </w:tc>
        <w:tc>
          <w:tcPr>
            <w:tcW w:w="5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31,313</w:t>
            </w:r>
          </w:p>
        </w:tc>
        <w:tc>
          <w:tcPr>
            <w:tcW w:w="80" w:type="dxa"/>
            <w:vAlign w:val="bottom"/>
          </w:tcPr>
          <w:p>
            <w:pPr>
              <w:spacing w:after="0"/>
              <w:rPr>
                <w:sz w:val="16"/>
                <w:szCs w:val="16"/>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3"/>
        </w:trPr>
        <w:tc>
          <w:tcPr>
            <w:tcW w:w="4040" w:type="dxa"/>
            <w:vAlign w:val="bottom"/>
          </w:tcPr>
          <w:p>
            <w:pPr>
              <w:spacing w:after="0"/>
              <w:rPr>
                <w:sz w:val="24"/>
                <w:szCs w:val="24"/>
                <w:color w:val="auto"/>
              </w:rPr>
            </w:pPr>
          </w:p>
        </w:tc>
        <w:tc>
          <w:tcPr>
            <w:tcW w:w="5600" w:type="dxa"/>
            <w:vAlign w:val="bottom"/>
            <w:gridSpan w:val="2"/>
          </w:tcPr>
          <w:p>
            <w:pPr>
              <w:jc w:val="right"/>
              <w:ind w:right="3789"/>
              <w:spacing w:after="0"/>
              <w:rPr>
                <w:sz w:val="20"/>
                <w:szCs w:val="20"/>
                <w:color w:val="auto"/>
              </w:rPr>
            </w:pPr>
            <w:r>
              <w:rPr>
                <w:rFonts w:ascii="Times New Roman" w:cs="Times New Roman" w:eastAsia="Times New Roman" w:hAnsi="Times New Roman"/>
                <w:sz w:val="14"/>
                <w:szCs w:val="14"/>
                <w:color w:val="auto"/>
              </w:rPr>
              <w:t>F-22</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4040" w:type="dxa"/>
            <w:vAlign w:val="bottom"/>
            <w:tcBorders>
              <w:bottom w:val="single" w:sz="8" w:color="9A9A9A"/>
            </w:tcBorders>
          </w:tcPr>
          <w:p>
            <w:pPr>
              <w:spacing w:after="0"/>
              <w:rPr>
                <w:sz w:val="6"/>
                <w:szCs w:val="6"/>
                <w:color w:val="auto"/>
              </w:rPr>
            </w:pPr>
          </w:p>
        </w:tc>
        <w:tc>
          <w:tcPr>
            <w:tcW w:w="54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Measured at Fair Value on a Recurring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Company’s cash equivalents and marketable securities that were measured at fair value on a recurring basis by level within the fair value hierarchy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6"/>
        </w:trPr>
        <w:tc>
          <w:tcPr>
            <w:tcW w:w="5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5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86,714</w:t>
            </w:r>
          </w:p>
        </w:tc>
        <w:tc>
          <w:tcPr>
            <w:tcW w:w="80" w:type="dxa"/>
            <w:vAlign w:val="bottom"/>
          </w:tcPr>
          <w:p>
            <w:pPr>
              <w:spacing w:after="0"/>
              <w:rPr>
                <w:sz w:val="17"/>
                <w:szCs w:val="17"/>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86,714</w:t>
            </w: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40,182</w:t>
            </w: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10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35,814</w:t>
            </w: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notes/bonds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47,928</w:t>
            </w:r>
          </w:p>
        </w:tc>
      </w:tr>
      <w:tr>
        <w:trPr>
          <w:trHeight w:val="196"/>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10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notes/bonds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20,341</w:t>
            </w:r>
          </w:p>
        </w:tc>
      </w:tr>
      <w:tr>
        <w:trPr>
          <w:trHeight w:val="196"/>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r>
      <w:tr>
        <w:trPr>
          <w:trHeight w:val="218"/>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157,509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244,223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Level 1, 2 or 3 assets or liabilities as of December 31, 2024.</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Level 1 financial instruments is based on quoted market prices for identical instruments in active markets. The fair value of the Company’s Level 2 fixed income securities is obtained from independent pricing services, which may use quoted market prices for identical or comparable instruments in less active markets or model driven valuations using observable market data or inputs corroborated by observable market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Measured at Fair Value on a Non-Recurring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issuance of the Company’s convertible notes, the Company recorded a derivative liability during the year ended December 31, 2024 (see Note 9). The fair value of the derivative liability was valued using a probability-weighted scenario analysis utilizing the terms of the notes under the with-or-without method and was therefore classified as a Level 3 asset. The Company determined a 100% probability of conversion into equity as the notes were converted into shares of the Company’s common stock upon the Offering in April 2024. Upon the consummation of the Offering in April 2024, all the convertible notes, including principal and accrued interest, were converted into 2,104,562 shares of the Company’s common stock. Accordingly, the related derivative liability was converted into additional paid-in capital as of April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ind w:left="280" w:hanging="275"/>
        <w:spacing w:after="0"/>
        <w:tabs>
          <w:tab w:leader="none" w:pos="28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cost or amortized cost, gross unrealized gain, gross unrealized loss, and fair value of the Company’s cash equivalents and marketable securities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24"/>
        </w:trPr>
        <w:tc>
          <w:tcPr>
            <w:tcW w:w="5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92"/>
        </w:trPr>
        <w:tc>
          <w:tcPr>
            <w:tcW w:w="50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3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Estimated Fair Value</w:t>
            </w:r>
          </w:p>
        </w:tc>
      </w:tr>
      <w:tr>
        <w:trPr>
          <w:trHeight w:val="18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5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20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86,714</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86,714</w:t>
            </w:r>
          </w:p>
        </w:tc>
      </w:tr>
      <w:tr>
        <w:trPr>
          <w:trHeight w:val="202"/>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40,182</w:t>
            </w:r>
          </w:p>
        </w:tc>
      </w:tr>
      <w:tr>
        <w:trPr>
          <w:trHeight w:val="20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35,814</w:t>
            </w:r>
          </w:p>
        </w:tc>
      </w:tr>
      <w:tr>
        <w:trPr>
          <w:trHeight w:val="202"/>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notes/bonds</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47,928</w:t>
            </w:r>
          </w:p>
        </w:tc>
      </w:tr>
      <w:tr>
        <w:trPr>
          <w:trHeight w:val="20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02"/>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notes/bonds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20,341</w:t>
            </w:r>
          </w:p>
        </w:tc>
      </w:tr>
      <w:tr>
        <w:trPr>
          <w:trHeight w:val="20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agencies</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6,003</w:t>
            </w:r>
          </w:p>
        </w:tc>
      </w:tr>
      <w:tr>
        <w:trPr>
          <w:trHeight w:val="196"/>
        </w:trPr>
        <w:tc>
          <w:tcPr>
            <w:tcW w:w="5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244,223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marketable securities with unrealized loss positions, the Company does not intend to sell these securities, and it is more likely than not that the Company will hold these securities until maturity or a recovery of the cost basis. No allowance for credit losses was recorded for these securities as of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PROPERTY AND EQUIPMENT, NET</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9"/>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property and equipment, net (in thousands):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7"/>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Robot assets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92"/>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53,478</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14,567</w:t>
            </w: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r>
      <w:tr>
        <w:trPr>
          <w:trHeight w:val="198"/>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47,013</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11,963</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$4.3 million and $0.3 million for the years ended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certain amounts previously categorized as inventory were reclassified to property and equipment. The reclassification had an immaterial impact on our consolidated balance sheets.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NOTES PAYABLE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Silicon Valley Bank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made a full repayment of the loan in the amount of $1.3 million. During the year ending December 31, 2024, the Company recognized amortization of debt discount in the amount of $19.1 thousand. There was no activity during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 Payable – Related Party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Company issued a senior secured promissory note to its Chief Executive Officer for which Serve received $70.0 thousand in proceeds. The note bore interest at 7.67% per annum. The note was fully repaid on January 3,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January 2024 Convertible Note Payable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various dates in January 2024, the Company issued to certain accredited investors convertible promissory notes in an aggregate amount of $5.0 million, for which the Company received $4.8 million in net proceeds (the “January Notes”). As a result, the Company incurred fees of $169.9 thousand which was recorded as a debt discount. The January Notes bore interest at a rate of 6.0% per year, compounded annually, and were due and payable upon request by each investor on or after the 12-month anniversary of the original issuance date of each note. The Company could not prepay or repay the January Notes in cash without the consent of the investors. The January Notes were to convert upon a qualified offering into the Company’s common stock at the lesser of the price paid per share multiplied by 75% or the quotient resulting from dividing $80.0 million by the outstanding shares of the Company’s common stock on a fully diluted basis prior to the financing (the “Conversion Price”). Upon the closing of the Offering in April 2024, the January Notes, including accrued interest, were converted into 2,104,562 shares of the Company’s common stock at a conversion price of $2.42 per share.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The Company evaluated the terms of the conversion features of the January Notes in accordance with ASC 815-40, </w:t>
      </w:r>
      <w:r>
        <w:rPr>
          <w:rFonts w:ascii="Times New Roman" w:cs="Times New Roman" w:eastAsia="Times New Roman" w:hAnsi="Times New Roman"/>
          <w:sz w:val="14"/>
          <w:szCs w:val="14"/>
          <w:i w:val="1"/>
          <w:iCs w:val="1"/>
          <w:color w:val="auto"/>
        </w:rPr>
        <w:t>Derivatives and Hedging – Contracts in Entity’s Own Stock</w:t>
      </w:r>
      <w:r>
        <w:rPr>
          <w:rFonts w:ascii="Times New Roman" w:cs="Times New Roman" w:eastAsia="Times New Roman" w:hAnsi="Times New Roman"/>
          <w:sz w:val="14"/>
          <w:szCs w:val="14"/>
          <w:color w:val="auto"/>
        </w:rPr>
        <w:t>, and determined they are not indexed to the Company’s common stock and that the conversion feature, which is akin to a redemption feature, meets the definition of a liability. The January Notes contain an indeterminate number of shares to settle with conversion options outside of the Company’s control. Therefore, the Company bifurcated the conversion feature and accounted for it as a separate derivative liability. Upon issuance of the January Notes, the Company recognized a derivative liability at a fair value of $1.5 million, which was recorded as a debt discount and amortized over the life of the January Notes. Upon the closing of the Offering, the derivative liability had a fair value of $1.7 million, which was reclassified to additional paid-in capital in connection with the conversion of the underlying January Notes.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incurred interest expense and aggregate debt discount pertaining to the January Notes of $78.5 thousand and $1.7 million, respectively, all of which were converted into shares of the Company’s common stock in April 2024.</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the closing of the Offering in April 2024, the outstanding principal and accrued interest of the January Notes converted into 2,104,562 shares of common stock. Accordingly, the related derivative liability was recorded into additional paid-in capital.</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connection with the issuance of the January Notes, the Company granted the placement agent warrants (the “Convertible Promissory Notes Offering Warrants”) to purchase common stock equal to 10% of the number of shares of common stock into which the January Notes sold to investors introduced by the placement agent are initially convertible. The Convertible Promissory Notes Offering Warrants are exercisable at the same price as the Conversion Price. Upon closing of the Offering, the Company issued the Convertible Promissory Notes Offering Warrants to purchase up to $63,479 shares of common stock at an exercise price of $2.42 per share. The Convertible Promissory Notes Offering Warrants expire on April 17, 2029. The Convertible Promissory Notes Offering Warrants include customary anti-dilution provisions. As of December 31, 2025, 63,479 of 63,479 warrants have been exercised into shares of common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STOCKHOLDERS’ EQUITY (DEFICIT)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share of common stock entitles the holder to one vote on all matters submitted to a vote of the Company’s stockholders. Common stockholders are not entitled to receive dividends, unless declared by the Company’s board of directors.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Company is authorized to issue 10,000,000 shares of preferred stock, par value $0.0001 per share, and 300,000,000 shares of common stock, par value $0.0001 per share.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Transactions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2024, the Company issued 10,000,000 shares of common stock for gross proceeds of $40.0 million, or $4.00 per share, pursuant to the Offering. In connection with the Offering, the Company incurred $4.2 million in offering costs. The Company also issued warrants to purchase 500,000 shares of common stock (the “Representative’s Warrant”). The Representative’s Warrant is exercisable at a per share exercise price equal to $5.00 and became exercisable at any time and from time to time, in whole or in part, on October 14, 2024. The Representative’s Warrant expire on April 17, 2029. As of December 31, 2025, the Representative’s Warrant has been fully exercised into shares of the Company’s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closing of the Offering, the January Notes converted into 2,104,562 shares of common stock based upon a conversion price of $2.42 per share.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23, 2024, the Company entered into a Securities Purchase Agreement (the “July Purchase Agreement”) with a certain accredited and institutional investor for a private placement offering of pre-funded warrants (the “July Pre-Funded Warrants”) to purchase shares of the Company’s common stock and warrants exercisable for common stock (the “July Investor Warrants”). Pursuant to the July Purchase Agreement, the Company sold 2,500,000 July Pre-Funded Warrants with each July Pre-Funded Warrant exercisable for one share of common stock, together with July Investor Warrants to purchase up to 2,500,000 shares of common stock. Each July Pre-Funded Warrant and accompanying July Investor Warrant were sold together at a combined offering price of $5.9999. The Company received net proceeds of $13.7 million pursuant to the July Purchase Agreement.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27, 2024, the Company entered into a Securities Purchase Agreement (the “August Purchase Agreement”) with a certain accredited and institutional investor for a private placement offering of pre-funded warrants (the “August Pre-Funded Warrants”) to purchase shares of the Company’s common stock and warrants exercisable for shares of common stock (the “August Investor Warrants”). Pursuant to the August Purchase Agreement, the Company sold 555,555 August Pre-Funded Warrants exercisable for one share of common stock, together with the August Investor Warrants to purchase up to 555,555 shares. Each August Pre-Funded Warrant and accompanying August Investor Warrants were sold together at a combined offering price of $8.9999. The July Investor Warrants were exercised in full for 2,500,000 shares of common stock. In consideration for the immediate exercise in full of the existing warrants, the exercising holder received new warrants (the “August Exchange Warrants”) to purchase 2,200,000 shares of common stock with an exercise price of $10.00 per share. The August Exchange Warrants became exercisable immediately upon issuance and will expire five and a half years from the date of issuance. The Company received net proceeds of $18.6 million pursuant to the August Purchase Agreement.</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7, 2025, the Company entered into a securities purchase agreement with a certain institutional investor pursuant to which the Company agreed to issue and sell, in a registered direct offering an aggregate of 4,210,525 shares of the Company’s common stock at a price of $19.00 per share (the “January Registered Direct Offering”). The gross proceeds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from the January Registered Direct Offering were approximately $80.0 million, before deducting the placement agents’ fees and other offering expenses payable by the Company.</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August 15, 2025, the Company entered into the Vayu Merger Agreement, pursuant to which the Company issued 1,494,906 shares of its common stock in initial upfront consideration. Additionally, the Company granted future earnout consideration consisting of up to 560,000 shares of common stock, contingent on the achievement of certain performance milestones. The Company also issued warrants to purchase 4,000,000 shares of common stock, with an exercise price of $10.36 per share (which amount is equal to the 10-day volume-weighted average price of the Company’s common stock prior to the closing of the transaction), to a certain Vayu securityholder. As of December 31, 2025, 1,494,906 of the 7,558,314 shares of deal consideration have been issued and are outstanding.</w:t>
      </w: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“October Registered Direct Offering”). The gross proceeds to the Company from the October Registered Direct Offering were approximately $100.0 million, before deducting the placement agents’ fees and other offering expenses payable by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Vayu 2022 Equity Incentive Plan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Company’s acquisition of Vayu, the Company assumed the Vayu 2022 Equity Incentive Plan (the “2022 Vayu Plan”) including the options outstanding immediately prior to the acquisition and the number of shares that remain available for issuance pursuant to the 2022 Vayu Plan, as adjusted by the exchange ratio for which such shares are exchangeable pursuant to the Vayu Merger Agreement. The 2022 Vayu Plan permits the grant of incentive stock options, nonstatutory stock options, SARs, restricted stock, RSUs, and stock bonus awards.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Subject to adjustments as set forth in the 2022 Vayu Plan, the maximum aggregate number of shares of the Company’s common stock that may be issued under the 2022 Vayu Plan may not exceed 5,344,275 shares. Subject to adjustments as set forth in the 2022 Vayu Plan, the maximum aggregate number of shares that may be issued under the 2022 Vayu Plan pursuant to incentive stock options may not exceed the number set forth above plus, to the extent allowable under Section 422 of the Internal Revenue Code and the regulations promulgated thereunder, any shares that again become available for issuance pursuant to the 2022 Vayu Plan. As of December 31, 2025, there were approximately 176,263 shares available to be issued under the 2022 Vayu Plan.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the extent a stock award under the 2022 Vayu Plan should expire or be forfeited or become unexercisable for any reason without having been exercised in full, or is surrendered pursuant to an exchange program, the unissued shares that were subject thereto will continue to be available under the 2022 Vayu Plan for issuance pursuant to future stock awards. In addition, any shares that are retained by the Company upon exercise of a stock award in order to satisfy the exercise or purchase price for such stock award or any withholding taxes due with respect to such stock award will be treated as not issued and will continue to be available under the 2022 Vayu Plan for issuance pursuant to future stock awards. Shares issued under the 2022 Vayu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be available for future grant under the 2022 Vayu Plan. To the extent a stock award under the 2022 Vayu Plan is paid out in cash rather than shares, such cash payment will not result in reducing the number of shares available for issuance under the 2022 Vayu Plan.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2022 Vayu Plan is administered by the Company’s board of directors or a committee thereof (the “2022 Vayu Plan Administrator”). The 2022 Vayu Plan Administrator has the authority to determine the terms and conditions of stock awards granted under the 2022 Vayu Plan, including the recipients, type of award, number of shares subject to each award, exercise or purchase price, vesting schedule, and other terms and conditions. Stock awards may be granted to employees, directors, and independent contractors of the Company and its affiliates. The 2022 Vayu Plan also provides for adjustments in the event of certain corporate transactions, such as stock splits, mergers, or other changes in capitalization, and includes customary provisions regarding the administration, amendment, and termination of the plan.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2023 Equity Incentive Plan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number of shares available for issuance under the 2023 Plan may, at the discretion of our Board or a committee thereof, which committee will be constituted to satisfy applicable laws (“Plan Administrator”), be increased on October 1st of each fiscal year beginning with the 2023 fiscal year until the 2023 Plan terminates, in each case, in an amount equal to the lesser of (i) 4% of the shares of the Company’s common stock issued and outstanding on the last day of the immediately preceding month on a fully-diluted and as-converted basis and (ii) such other number of shares as determined by our Board.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Subject to adjustments as set forth in the 2023 Plan, the maximum aggregate number of shares of common stock that may be issued under the 2023 Plan will not exceed 7,487,029 shares. In June 2025, the 2023 Plan was amended, and the number of shares authorized under the 2023 Plan was increased by 2,280,000 additional shares. In October 2025, the number of shares authorized under the 2023 Plan was increased by 3,289,146 additional shares, pursuant to the evergreen provisions under the 2023 Plan. As of December 31, 2025 there were a total of 13,056,175 shares available to be issued, including forfeited shares from predecessor plans.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the extent stock awards or shares issued under Serve’s 2021 Equity Incentive Plan (“2021 Plan”) that were assumed by the Company upon the closing of the Merger (“Existing Plan Awards”) are exercised in full or are surrendered pursuant to an exchange program (as defined in the 2023 Plan), the unissued shares that were subject thereto will continue to be available under the 2023 Plan for issuance pursuant to future stock awards. In addition, any shares that are retained by us upon exercise of a stock award or Existing Plan Award in order to satisfy the exercise or purchase price for such stock award or Existing Plan Award or any withholding taxes due with respect to such stock award or Existing Plan Award will be treated as not issued and will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will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Vayu 2025 Equity Incentive Plan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Company’s acquisition of Vayu, the Company assumed certain equity awards that had been issued pursuant to the Vayu 2025 Equity Incentive Plan (the “2025 Vayu Plan”). In accordance with the Vayu Merger Agreement, the 2025 Vayu Plan was adopted and approved, and stockholder approval was obtained, prior to the closing of the acquisition. Prior to the closing, Vayu granted restricted stock units (“New Restricted Stock Units”) covering an equivalent of an aggregate of 1,373,971 shares of the Company’s common stock to certain individuals who were expected to become continuing employees of the Company, pursuant to forms of award agreement reasonably approved by the Company. The New Restricted Stock Units were only effective for those individuals who accepted their awards by timely executing and returning the applicable award agreement prior to the closing date and who became continuing employees.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Immediately following the issuance of the New Restricted Stock Units and the closing of the acquisition, the 2025 Vayu Plan was terminated in accordance with the Vayu Merger Agreement, and no further awards will be granted under the 2025 Vayu Plan. The 2025 Vayu Plan permitted the grant of incentive stock options, nonstatutory stock options, restricted stock, restricted stock units, stock appreciation rights, and stock bonus awards. Subject to adjustments as set forth in the 2025 Vayu Plan, the maximum aggregate number of shares of the Company’s common stock that could have been issued under the 2025 Vayu Plan did not exceed 1,400,000 shares. Any shares subject to awards under the 2025 Vayu Plan that expired, were forfeited, or became unexercisable without having been exercised in full, or were surrendered pursuant to an exchange program, would have continued to be available for issuance under the plan prior to its termination. After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termination of the 2025 Vayu Plan, no further awards may be granted under the plan, and any shares underlying awards that are forfeited or canceled will not become available for future issuance.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 (RSAs)</w:t>
            </w: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our restricted stock awards for the year ended December 31, 2025:</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480" w:type="dxa"/>
            <w:vAlign w:val="bottom"/>
          </w:tcPr>
          <w:p>
            <w:pPr>
              <w:spacing w:after="0"/>
              <w:rPr>
                <w:sz w:val="24"/>
                <w:szCs w:val="24"/>
                <w:color w:val="auto"/>
              </w:rPr>
            </w:pPr>
          </w:p>
        </w:tc>
        <w:tc>
          <w:tcPr>
            <w:tcW w:w="33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9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88"/>
        </w:trPr>
        <w:tc>
          <w:tcPr>
            <w:tcW w:w="74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996,799</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196"/>
        </w:trPr>
        <w:tc>
          <w:tcPr>
            <w:tcW w:w="7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(663,964)</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6"/>
        </w:trPr>
        <w:tc>
          <w:tcPr>
            <w:tcW w:w="7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(47,782)</w:t>
            </w:r>
          </w:p>
        </w:tc>
        <w:tc>
          <w:tcPr>
            <w:tcW w:w="80" w:type="dxa"/>
            <w:vAlign w:val="bottom"/>
          </w:tcPr>
          <w:p>
            <w:pPr>
              <w:spacing w:after="0"/>
              <w:rPr>
                <w:sz w:val="17"/>
                <w:szCs w:val="17"/>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198"/>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285,053</w:t>
            </w:r>
          </w:p>
        </w:tc>
        <w:tc>
          <w:tcPr>
            <w:tcW w:w="80" w:type="dxa"/>
            <w:vAlign w:val="bottom"/>
          </w:tcPr>
          <w:p>
            <w:pPr>
              <w:spacing w:after="0"/>
              <w:rPr>
                <w:sz w:val="17"/>
                <w:szCs w:val="17"/>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During 2023, the Company issued 338,121 shares of restricted common stock for recourse notes totaling $164.1 thousand. The shares were issued with a corresponding note receivable, a recourse loan that was collateralized by the underlying shares. The Company planned to enforce the recourse terms for the holders. As such, in accordance with ASC 505-10-45-2, the Company recognized a subscription receivable of $165.7 thousand, inclusive of interest on the note, which was included as a contra-equity on the consolidated balance sheets. The Company recorded a corresponding restricted stock award liability of $162.7 thousand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In June 2024, the Company forgave one recourse loan related to shares of restricted common stock previously issued under a recourse note arrangement. Due to the lack of enforcement of the recourse terms, the remaining loans under the agreement were deemed nonrecourse. Accordingly, the Company extinguished the restricted stock award liability and the related subscription receivable previously recorded as contra-equity on the consolidated balance sheets. In accordance with ASC 718, these actions were deemed award modifications. During the year ended December 31, 2024, the Company recognized $204.3 thousand in stock based compensation related to the incremental value of the award and an additional $11.5 thousand related to the change in classification; all of which was included in general and administrative expense in the consolidated statements of operations. As of December 31, 2025 and 2024, there were 46,833 and 108,008 shares of common stock issued, respectively, that are subject to the non-recourse notes and deemed not outstanding.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(RSUs)</w:t>
            </w: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our RSUs for the year ended December 31, 2025:</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480" w:type="dxa"/>
            <w:vAlign w:val="bottom"/>
          </w:tcPr>
          <w:p>
            <w:pPr>
              <w:spacing w:after="0"/>
              <w:rPr>
                <w:sz w:val="24"/>
                <w:szCs w:val="24"/>
                <w:color w:val="auto"/>
              </w:rPr>
            </w:pPr>
          </w:p>
        </w:tc>
        <w:tc>
          <w:tcPr>
            <w:tcW w:w="3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9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88"/>
        </w:trPr>
        <w:tc>
          <w:tcPr>
            <w:tcW w:w="74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3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5,362,326</w:t>
            </w: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96"/>
        </w:trPr>
        <w:tc>
          <w:tcPr>
            <w:tcW w:w="7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4,613,157</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207"/>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(2,437,895)</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(319,798)</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7,217,790</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2025, the Company granted 4,613,157 RSUs with vesting periods ranging 1 month to 4 years.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transactions contemplated by the Vayu Merger Agreement (the “Vayu Acquisition”), in August 2025, the Company granted 493,970 RSUs to certain employees as a retention equity award (the “Retention RSUs”).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Retention RSUs vest over 4 years from the date of the consummation of the Vayu Acquisition with 25% of the Retention RSUs vesting on the first anniversary of the grant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weighted average vesting period of the unvested RSUs was approximately 2.8 years.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had repurchased 233,208 shares of common stock for nominal value. During the year ended December 31, 2025, the Company repurchased no shares of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2025, the Company granted performance-based restricted stock units (“PRSUs”). The PRSUs will vest or commence vesting upon achievement of the Milestone by the Milestone Date. In addition, the PRSUs may also be subject to a continuous service condition. On the Milestone Date, approximately 66% of the PRSUs will vest, and the remaining 34% will vest over 2.5 years following the Milestone Date. The total grant date fair value of the PRSUs was 13.98 million, which is expected to be recognized at a point in time when achievement of the Milestone is considered probable, using management’s best estimates, which consider the inherent risk and uncertainty regarding the future outcomes of the performance conditions.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2025, the components that comprise the Milestone had not been fully established, and therefore, probability is unable to be reasonably determined. Thus, the Company does not consider the achievement of the Milestone to be probable as of December 31, 2025. Accordingly, as of December 31, 2025, the Company did not recognize stock-based compensation expense, as defined by ASC 718. As of December 31, 2025, all shares of the PRSUs were unvested and outstanding. The Company will reassess the probability and re-measure the compensation expense associated with the performance-based RSUs at each reporting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the Company’s PRSU activity for the year ended December 31, 2025 is as follows:</w:t>
            </w: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7480" w:type="dxa"/>
            <w:vAlign w:val="bottom"/>
          </w:tcPr>
          <w:p>
            <w:pPr>
              <w:spacing w:after="0"/>
              <w:rPr>
                <w:sz w:val="24"/>
                <w:szCs w:val="24"/>
                <w:color w:val="auto"/>
              </w:rPr>
            </w:pPr>
          </w:p>
        </w:tc>
        <w:tc>
          <w:tcPr>
            <w:tcW w:w="19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1,440,001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1,440,001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information related to stock options for the years ended December 31, 2025 and 2024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3"/>
                <w:szCs w:val="13"/>
                <w:color w:val="auto"/>
              </w:rPr>
            </w:pPr>
          </w:p>
        </w:tc>
        <w:tc>
          <w:tcPr>
            <w:tcW w:w="14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Intrinsic Value (in</w:t>
            </w:r>
          </w:p>
        </w:tc>
      </w:tr>
      <w:tr>
        <w:trPr>
          <w:trHeight w:val="192"/>
        </w:trPr>
        <w:tc>
          <w:tcPr>
            <w:tcW w:w="434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9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1,515,386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r>
      <w:tr>
        <w:trPr>
          <w:trHeight w:val="196"/>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110,374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7"/>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r>
      <w:tr>
        <w:trPr>
          <w:trHeight w:val="196"/>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w:t>
            </w:r>
          </w:p>
        </w:tc>
      </w:tr>
      <w:tr>
        <w:trPr>
          <w:trHeight w:val="196"/>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89,438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7"/>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r>
      <w:tr>
        <w:trPr>
          <w:trHeight w:val="196"/>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1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w:t>
            </w:r>
          </w:p>
        </w:tc>
      </w:tr>
      <w:tr>
        <w:trPr>
          <w:trHeight w:val="19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and expected to vest at December 31, 2025</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826,539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8,573</w:t>
            </w:r>
          </w:p>
        </w:tc>
      </w:tr>
      <w:tr>
        <w:trPr>
          <w:trHeight w:val="721"/>
        </w:trPr>
        <w:tc>
          <w:tcPr>
            <w:tcW w:w="4340" w:type="dxa"/>
            <w:vAlign w:val="bottom"/>
          </w:tcPr>
          <w:p>
            <w:pPr>
              <w:spacing w:after="0"/>
              <w:rPr>
                <w:sz w:val="24"/>
                <w:szCs w:val="24"/>
                <w:color w:val="auto"/>
              </w:rPr>
            </w:pPr>
          </w:p>
        </w:tc>
        <w:tc>
          <w:tcPr>
            <w:tcW w:w="362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F-30</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weighted average duration to expiration of outstanding options was 6.46 years.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Refer to Note 4 for information regarding the valuation of options granted during the year ended December 31, 2025 as part of the Vayu acquisition. The stock options granted during the year ended December 31, 2024 were valued using the Black-Scholes pricing model using the range of inputs as follows: (i) risk-free interest rate range of 3.82% - 4.50%; (ii) expected term of 5 to 6.3 years; (iii) expected volatility of 75.0%; and (iv) expected dividend yield of 0%.</w:t>
      </w:r>
    </w:p>
    <w:p>
      <w:pPr>
        <w:sectPr>
          <w:pgSz w:w="11900" w:h="16838" w:orient="portrait"/>
          <w:cols w:equalWidth="0" w:num="1">
            <w:col w:w="11280"/>
          </w:cols>
          <w:pgMar w:left="300" w:top="125" w:right="319" w:bottom="144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grant date fair value of options granted during 2025 and 2024 was $5.49 and $2.64,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warrants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161530"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Exercised</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47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3"/>
                <w:szCs w:val="13"/>
                <w:color w:val="auto"/>
              </w:rPr>
            </w:pPr>
          </w:p>
        </w:tc>
        <w:tc>
          <w:tcPr>
            <w:tcW w:w="15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19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4"/>
        </w:trPr>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3,340,011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02"/>
        </w:trPr>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202"/>
        </w:trPr>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(2,260,717)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12"/>
        </w:trPr>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5,079,294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880" w:space="720"/>
            <w:col w:w="3680"/>
          </w:cols>
          <w:pgMar w:left="300" w:top="125" w:right="319" w:bottom="1440" w:gutter="0" w:footer="0" w:header="0"/>
          <w:type w:val="continuous"/>
        </w:sectPr>
      </w:pPr>
    </w:p>
    <w:p>
      <w:pPr>
        <w:ind w:left="20"/>
        <w:spacing w:after="0"/>
        <w:tabs>
          <w:tab w:leader="none" w:pos="8800" w:val="left"/>
          <w:tab w:leader="none" w:pos="9480" w:val="left"/>
          <w:tab w:leader="none" w:pos="10880" w:val="left"/>
        </w:tabs>
        <w:rPr>
          <w:sz w:val="20"/>
          <w:szCs w:val="20"/>
          <w:color w:val="auto"/>
        </w:rPr>
      </w:pPr>
      <w:r>
        <w:rPr>
          <w:rFonts w:ascii="Times New Roman" w:cs="Times New Roman" w:eastAsia="Times New Roman" w:hAnsi="Times New Roman"/>
          <w:sz w:val="14"/>
          <w:szCs w:val="14"/>
          <w:color w:val="auto"/>
        </w:rPr>
        <w:t>Exercisable as of December 31, 2025</w:t>
      </w:r>
      <w:r>
        <w:rPr>
          <w:sz w:val="20"/>
          <w:szCs w:val="20"/>
          <w:color w:val="auto"/>
        </w:rPr>
        <w:tab/>
      </w:r>
      <w:r>
        <w:rPr>
          <w:rFonts w:ascii="Times New Roman" w:cs="Times New Roman" w:eastAsia="Times New Roman" w:hAnsi="Times New Roman"/>
          <w:sz w:val="14"/>
          <w:szCs w:val="14"/>
          <w:color w:val="auto"/>
        </w:rPr>
        <w:t>5,079,294</w:t>
        <w:tab/>
        <w:t>$</w:t>
      </w:r>
      <w:r>
        <w:rPr>
          <w:sz w:val="20"/>
          <w:szCs w:val="20"/>
          <w:color w:val="auto"/>
        </w:rPr>
        <w:tab/>
      </w:r>
      <w:r>
        <w:rPr>
          <w:rFonts w:ascii="Times New Roman" w:cs="Times New Roman" w:eastAsia="Times New Roman" w:hAnsi="Times New Roman"/>
          <w:sz w:val="14"/>
          <w:szCs w:val="14"/>
          <w:color w:val="auto"/>
        </w:rPr>
        <w:t>10.18</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remaining term of the warrants outstanding was 5.3 years as of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Magna Warrant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2024, Serve Operating Co. entered into a Master Services Agreement (the “MSA”) with Magna New Mobility USA, Inc. (“Magna”), retroactively effective as of January 15, 2024.</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strategic partnership with Magna, on February 7, 2024, the Company issued to Magna a warrant (the “Magna Warrant”) to purchase up to 2,145,000 shares of the Company’s common stock (the “Magna Warrant Shares”), subject to an exercise price of $0.01 per share. The Magna Warrant was issued pursuant to a production agreement executed in April 2024 in connection with the MSA, under which Magna will assist the Company with the assembly of robotic delivery vehicles.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Magna Warrant is exercisable in two equal tranches: (i) the first tranche became exercisable in May 2024; and (ii) the second tranche became exercisable in December 2024. As of June 30, 2025, the Magna Warrant has been fully exercised into shares of the Company’s common stock. All such warrants were fully vested and the Company recognized $8.6 million in stock-based compensation expense during the year ended December 31, 2024. The Company recorded the expense to research and development expense in the consolidated statements of operations for the year ended December 31, 2024. The Company recorded no expense related to these warrants for the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KV Warrants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accordance with the terms of the Vayu Merger Agreement, upon the closing of the transaction, the Company issued 4,000,000 warrants to a certain Vayu securityholder (the “KV Warrants”). Each KV Warrant entitles the holder to purchase one share of the Company’s common stock, subject to adjustment thereunder, at an exercise price of $10.36 per share (which amount is equal to the 10-day volume-weighted average price of the common stock prior to the closing of the transaction). The KV Warrants contain customary terms and are exercisable at any time on or after August 15, 2029,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terminate on August 15, 2031. The KV Warrants were issued pursuant to an exemption from registration under Section 4(a)(2) of the Securities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November 7, 2024, the Company entered into an Equity Distribution Agreement (the “2024 Distribution Agreement”) with Northland Securities, Inc., B. Riley Securities, Inc. and Ladenburg Thalmann &amp; Co. Inc. (collectively, the “2024 ATM Agents”) under which the Company may offer and sell, from time to time in its sole discretion, shares of the Company’s common stock, with aggregate gross sales proceeds of up to $100.0 million through an “at the market” equity offering program. Under the 2024 Distribution Agreement, the Company will set the parameters for the sale of shares. Subject to the terms and conditions of the 2024 Distribution Agreement, the 2024 ATM Agents may sell the shares by methods deemed to be an “at the market” offering as defined in Rule 415 promulgated under the Securities Act. The 2024 Distribution Agreement provides that the Company will pay the 2024 ATM Agents a commission of up to 3% of the gross proceeds of any shares of the Company’s common stock sold through the 2024 ATM Agents under the 2024 Distribution Agreement.</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During the twelve months ended December 31, 2024, the Company sold a total of 5,698,992 shares of the Company’s common stock under the 2024 Distribution Agreement at a weighted-average price of $14.04 per share and raised approximately $80.0 million of gross proceeds. After deducting approximately $2.4 million of commissions and offering costs incurred by the Company, the net proceeds from sales of the Company’s common stock were $77.6 million during the twelve months ended December 31, 2024. On March 5, 2025 the Company terminated the 2024 Distribution Agreement.</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On March 6, 2025, the Company entered into a Controlled Equity Offering</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Agreement (the “2025 Distribution Agreement”) with Cantor Fitzgerald &amp; Co., Wedbush Securities Inc., Northland Securities, Inc., Ladenburg Thalmann &amp; Co. Inc. and Seaport Global Securities LLC (collectively, the “2025 ATM Agents”) under which the Company may offer and sell, from time to time in its sole discretion, shares of the Company’s common stock with aggregate gross sales proceeds of up to $150.0 million through an “at the market” equity offering program. Under the 2025 Distribution Agreement, the Company will set the parameters for the sale of shares. Subject to the terms and conditions of the 2025 Distribution Agreement, the 2025 ATM Agents may sell the shares by methods deemed to be an “at the market” offering as defined in Rule 415 promulgated under the Securities Act. The 2025 Distribution Agreement provides that the Company will pay the 2025 ATM Agents a commission of up to 3% of the gross proceeds of any shares of common stock sold through the 2025 ATM Agents under the 2025 Distribution Agreement.</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During the year ended December 31, 2025, the Company sold a total of 6,499,935 shares of the Company’s common stock under the 2025 Distribution Agreement at a weighted-average price of $12.49 per share and raised $81.2 million of gross proceeds. After deducting approximately $2.4 million of commissions and offering costs incurred by the Company, the net proceeds from sales of the Company’s common stock were $78.8 million during the year ended December 31, 2025. As of December 31, 2025, the Company had approximately $68.8 million of remaining capacity to sell the Company’s common stock under the 2025 Distribution Agreement.</w:t>
      </w:r>
    </w:p>
    <w:p>
      <w:pPr>
        <w:spacing w:after="0" w:line="1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STOCK-BASED COMPENSATION</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is classified based on the cost center to which the award holder belongs. The Company recorded stock-based compensation expense in the consolidated statements of operations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23"/>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recorded stock-based compensation expense related to vesting of RSUs and RSAs of $20.7 million and $5.5 million, respectively. As of December 31, 2025, there was $60.3 million of unamortized compensation costs related to unvested RSUs, which is expected to be recognized over a weighted-average period of approximately 2.8 years. As of December 31, 2025, there was an immaterial amount of unamortized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costs related to unvested RSAs, which is expected to be recognized over a weighted-average period of approximately 0.6 years.</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recorded stock-based compensation expense for stock options of $0.5 million and $0.4 million, respectively. As of December 31, 2025, total unamortized compensation cost related to unvested stock option awards was $0.1 million, which is expected to be recognized over a weighted average period of 1.0 year.</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INCOME TAXES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net loss before income taxes on which the benefit from income taxes was computed for the year ended December 31, 2025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7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(103,169)</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w:t>
            </w:r>
          </w:p>
        </w:tc>
      </w:tr>
      <w:tr>
        <w:trPr>
          <w:trHeight w:val="196"/>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net loss before income taxes</w:t>
            </w: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Note: Amounts for the year ended December, 31, 2024 were immaterial.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benefit from income taxes for the year ended December 31, 2025 is as follows (in thousands):</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7"/>
        </w:trPr>
        <w:tc>
          <w:tcPr>
            <w:tcW w:w="926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6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9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8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r>
      <w:tr>
        <w:trPr>
          <w:trHeight w:val="16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8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8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1"/>
        </w:trPr>
        <w:tc>
          <w:tcPr>
            <w:tcW w:w="9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deferred tax benefit</w:t>
            </w:r>
          </w:p>
        </w:tc>
        <w:tc>
          <w:tcPr>
            <w:tcW w:w="8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(4,702)</w:t>
            </w:r>
          </w:p>
        </w:tc>
      </w:tr>
      <w:tr>
        <w:trPr>
          <w:trHeight w:val="196"/>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 tax benefit</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Note: Amounts for the year ended December, 31, 2024 were immaterial.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the statutory federal income tax rate to the Company’s effective tax rate for the year ended December 31, 2025 is as follows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40" w:type="dxa"/>
            <w:vAlign w:val="bottom"/>
            <w:tcBorders>
              <w:bottom w:val="single" w:sz="8" w:color="auto"/>
            </w:tcBorders>
          </w:tcPr>
          <w:p>
            <w:pPr>
              <w:spacing w:after="0"/>
              <w:rPr>
                <w:sz w:val="16"/>
                <w:szCs w:val="16"/>
                <w:color w:val="auto"/>
              </w:rPr>
            </w:pPr>
          </w:p>
        </w:tc>
      </w:tr>
      <w:tr>
        <w:trPr>
          <w:trHeight w:val="171"/>
        </w:trPr>
        <w:tc>
          <w:tcPr>
            <w:tcW w:w="79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40" w:type="dxa"/>
            <w:vAlign w:val="bottom"/>
            <w:tcBorders>
              <w:bottom w:val="single" w:sz="8" w:color="auto"/>
            </w:tcBorders>
          </w:tcPr>
          <w:p>
            <w:pPr>
              <w:spacing w:after="0"/>
              <w:rPr>
                <w:sz w:val="14"/>
                <w:szCs w:val="14"/>
                <w:color w:val="auto"/>
              </w:rPr>
            </w:pP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at U.S. federal statutory rate</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9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State and local income taxes, net of federal income tax effect</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 taxable or nondeductible items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7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162(m) executive compensation limitation</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 at effective tax rate</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20" w:right="5900" w:hanging="16"/>
        <w:spacing w:after="0" w:line="253" w:lineRule="auto"/>
        <w:tabs>
          <w:tab w:leader="none" w:pos="227"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 2025, the state that contributed to the majority (greater than 50%) of the tax effect in this category is California. Note: Amounts for the year ended December, 31, 2024 were immaterial.</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lower effective tax rate for the year ended December 31, 2025 when compared to the U.S. federal statutory rate was primarily related to the impact of our valuation allowance. The Company has historically been in a full valuation allowance position. The acquisition of Vayu resulted in net deferred tax liabilities being recorded through acquisition accounting. Post acquisition and in consolidation, this deferred tax liability resulted in a partial release of our valuation allowance which is driving our current year tax benefit of $3.7 million.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The OBBBA contains provisions to enhance and expand bonus depreciation, allow immediate expensing of domestic research costs, accelerate deductions of previously deferred domestic research costs, and modify the international tax framework. The impact of OBBBA was not material to the Company’s financial statements for the year ended December 31,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deferred tax assets and liabilities as of December 31, 2025 and 2024 are as follows (in thousands):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2"/>
        </w:trPr>
        <w:tc>
          <w:tcPr>
            <w:tcW w:w="77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and credit carryforwards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research and development costs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obligations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deferred tax assets</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71"/>
        </w:trPr>
        <w:tc>
          <w:tcPr>
            <w:tcW w:w="7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65,531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21,403</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(55,620)</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(21,403)</w:t>
            </w:r>
          </w:p>
        </w:tc>
      </w:tr>
      <w:tr>
        <w:trPr>
          <w:trHeight w:val="171"/>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(7,764)</w:t>
            </w:r>
          </w:p>
        </w:tc>
        <w:tc>
          <w:tcPr>
            <w:tcW w:w="8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asset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ability to utilize net operating loss carryforwards will depend on its ability to generate adequate future taxable income. As of December 31, 2025, we have deferred tax assets for U.S. federal credit carryforwards and state tax losses and credit carryforwards that begin to expire in 2041 of $2.8 million and $14.8 million, respectively. The company also has U.S. Federal tax losses that may be carried forward indefinitely of $38.1 million. The majority of our loss and credit carryforwards are offset by a valuation allowance.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valuation allowances on deferred tax assets if it is more likely than not that some or all of the deferred tax assets will not be realized. We had valuation allowances against net deferred tax assets of $55.6 million and $21.4 million as of December 31, 2025 and 2024, respectively. In 2025, the increase in the valuation allowance was primarily attributable to a net increase in our deferred tax assets resulting from the loss from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net deferred tax assets as of December 31, 2025 (in thousands):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2"/>
        </w:trPr>
        <w:tc>
          <w:tcPr>
            <w:tcW w:w="9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deferred tax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8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deferred tax assets</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6"/>
        </w:trPr>
        <w:tc>
          <w:tcPr>
            <w:tcW w:w="9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deferred tax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foreign deferred tax assets above are presented within other non-current assets on the consolidated balance sheets. The domestic deferred tax assets excluded $1.0 million of unrecognized tax benefits that have been recorded as a reduction of deferred tax assets, which was presented within deferred tax liabilities on the consolidated balance sheets.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the United States, Canada, Sweden, and various state jurisdictions. Calendar years 2021 through 2024 remain open to tax examination by U.S. federal authorities and calendar years 2021 through 2024 remain open to tax examination by state tax authorities. The Company regularly assesses the likelihood of an adverse outcome resulting from examinations to determine the adequacy of its tax reserves.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beginning and ending unrecognized tax benefits as of December 31, 2025 are reconciled as follows (in thousands):</w:t>
      </w:r>
    </w:p>
    <w:p>
      <w:pPr>
        <w:spacing w:after="0" w:line="20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21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tax positions in prior year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tax positions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Settlements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Release due to statute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Balance at end of year</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Note: Amounts for the year ended December, 31, 2024 were immaterial.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80"/>
        </w:trPr>
        <w:tc>
          <w:tcPr>
            <w:tcW w:w="7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0"/>
        </w:trPr>
        <w:tc>
          <w:tcPr>
            <w:tcW w:w="7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0845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84580" cy="6985"/>
                    </a:xfrm>
                    <a:prstGeom prst="rect">
                      <a:avLst/>
                    </a:prstGeom>
                    <a:noFill/>
                  </pic:spPr>
                </pic:pic>
              </a:graphicData>
            </a:graphic>
          </wp:anchor>
        </w:drawing>
      </w:r>
    </w:p>
    <w:p>
      <w:pPr>
        <w:ind w:left="1320" w:hanging="1311"/>
        <w:spacing w:after="0"/>
        <w:tabs>
          <w:tab w:leader="none" w:pos="1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0845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8458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34925</wp:posOffset>
            </wp:positionV>
            <wp:extent cx="10845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4580" cy="698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8860" w:space="720"/>
            <w:col w:w="1700"/>
          </w:cols>
          <w:pgMar w:left="300" w:top="125" w:right="31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Company’s total amount of unrecognized tax benefits was $1 million, none of which would impact the Company’s effective tax rate, if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paid an immaterial amount of income taxes as of December 31, 2025.</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 – Right of Use Asset and Liability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leases its facilities, which include office and warehouse space, under non-cancelable lease agreements with terms expiring between May 2026 and September 2031. The Company also has leases for cargo vans with terms expiring between November 2026 and December 2027. Certain of these arrangements have free rent, escalating rent payment provisions, lease renewal options, and tenant allowances. Under such arrangements, the Company recognizes an ROU asset and lease liability on the consolidated balance sheets. Lease costs are recognized on a straight-line basis over the non-cancelable lease term.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costs related to the Company’s operating leases are classified in the statements of operations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Financial Statement Line Item</w:t>
            </w:r>
          </w:p>
        </w:tc>
        <w:tc>
          <w:tcPr>
            <w:tcW w:w="30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Operations</w:t>
            </w:r>
          </w:p>
        </w:tc>
        <w:tc>
          <w:tcPr>
            <w:tcW w:w="4160" w:type="dxa"/>
            <w:vAlign w:val="bottom"/>
            <w:gridSpan w:val="3"/>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6"/>
        </w:trPr>
        <w:tc>
          <w:tcPr>
            <w:tcW w:w="5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3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lease costs</w:t>
            </w:r>
          </w:p>
        </w:tc>
        <w:tc>
          <w:tcPr>
            <w:tcW w:w="4160" w:type="dxa"/>
            <w:vAlign w:val="bottom"/>
            <w:gridSpan w:val="3"/>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(in thousands):</w:t>
            </w:r>
          </w:p>
        </w:tc>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6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paid for operating leases</w:t>
            </w:r>
          </w:p>
        </w:tc>
        <w:tc>
          <w:tcPr>
            <w:tcW w:w="4160" w:type="dxa"/>
            <w:vAlign w:val="bottom"/>
            <w:gridSpan w:val="3"/>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4160" w:type="dxa"/>
            <w:vAlign w:val="bottom"/>
            <w:gridSpan w:val="3"/>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8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0" w:type="dxa"/>
            <w:vAlign w:val="bottom"/>
          </w:tcPr>
          <w:p>
            <w:pPr>
              <w:spacing w:after="0"/>
              <w:rPr>
                <w:sz w:val="1"/>
                <w:szCs w:val="1"/>
                <w:color w:val="auto"/>
              </w:rPr>
            </w:pPr>
          </w:p>
        </w:tc>
      </w:tr>
      <w:tr>
        <w:trPr>
          <w:trHeight w:val="721"/>
        </w:trPr>
        <w:tc>
          <w:tcPr>
            <w:tcW w:w="5060" w:type="dxa"/>
            <w:vAlign w:val="bottom"/>
          </w:tcPr>
          <w:p>
            <w:pPr>
              <w:spacing w:after="0"/>
              <w:rPr>
                <w:sz w:val="24"/>
                <w:szCs w:val="24"/>
                <w:color w:val="auto"/>
              </w:rPr>
            </w:pPr>
          </w:p>
        </w:tc>
        <w:tc>
          <w:tcPr>
            <w:tcW w:w="4160" w:type="dxa"/>
            <w:vAlign w:val="bottom"/>
            <w:gridSpan w:val="3"/>
          </w:tcPr>
          <w:p>
            <w:pPr>
              <w:jc w:val="right"/>
              <w:ind w:right="3369"/>
              <w:spacing w:after="0"/>
              <w:rPr>
                <w:sz w:val="20"/>
                <w:szCs w:val="20"/>
                <w:color w:val="auto"/>
              </w:rPr>
            </w:pPr>
            <w:r>
              <w:rPr>
                <w:rFonts w:ascii="Times New Roman" w:cs="Times New Roman" w:eastAsia="Times New Roman" w:hAnsi="Times New Roman"/>
                <w:sz w:val="14"/>
                <w:szCs w:val="14"/>
                <w:color w:val="auto"/>
              </w:rPr>
              <w:t>F-36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060" w:type="dxa"/>
            <w:vAlign w:val="bottom"/>
            <w:tcBorders>
              <w:bottom w:val="single" w:sz="8" w:color="9A9A9A"/>
            </w:tcBorders>
          </w:tcPr>
          <w:p>
            <w:pPr>
              <w:spacing w:after="0"/>
              <w:rPr>
                <w:sz w:val="6"/>
                <w:szCs w:val="6"/>
                <w:color w:val="auto"/>
              </w:rPr>
            </w:pPr>
          </w:p>
        </w:tc>
        <w:tc>
          <w:tcPr>
            <w:tcW w:w="3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leases is as follows:</w:t>
      </w:r>
    </w:p>
    <w:p>
      <w:pPr>
        <w:spacing w:after="0" w:line="21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22860</wp:posOffset>
            </wp:positionV>
            <wp:extent cx="206184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6184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91"/>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r>
      <w:tr>
        <w:trPr>
          <w:trHeight w:val="424"/>
        </w:trPr>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maturities of lease liabilities as of December 31, 2025 are as follows (in thousands):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9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6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20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20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96"/>
        </w:trPr>
        <w:tc>
          <w:tcPr>
            <w:tcW w:w="9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8"/>
        </w:trPr>
        <w:tc>
          <w:tcPr>
            <w:tcW w:w="9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undiscounted future cash flows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w:t>
            </w:r>
          </w:p>
        </w:tc>
      </w:tr>
      <w:tr>
        <w:trPr>
          <w:trHeight w:val="196"/>
        </w:trPr>
        <w:tc>
          <w:tcPr>
            <w:tcW w:w="9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218"/>
        </w:trPr>
        <w:tc>
          <w:tcPr>
            <w:tcW w:w="9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minimum payments</w:t>
            </w:r>
          </w:p>
        </w:tc>
        <w:tc>
          <w:tcPr>
            <w:tcW w:w="9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additional operating lease commitments of $4.4 million for non-cancelable leases that have not yet commenced. The nature of such lease commitments is consistent with the nature of the leases that the Company has executed thus far.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Lease – Failed Sales-Leaseback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2022, the Company entered into a lease agreement with Farnam Capital for its robot assets. As per ASC 842-40-25-1, the transaction was considered a failed sales-leaseback and therefore the lease was accounted for as a financing agreement. In April 2025, the Company exercised the option to purchase the assets at the end of the lease for $2.2 million. There was no outstanding liability at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the Company is a party to litigation and subject to claims incidental to its business. Although the results of litigation and claims cannot be predicted with certainty, the Company currently believes that the final outcome of ongoing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a potential loss amount or a potential range of loss is probable and reasonably estimable, requiring recognition of a loss accrual, or whether the potential loss is reasonably possible, requiring disclosure. Legal fees are expensed as incurred.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2024, a class action complaint was filed in the Superior Court of California, County of Los Angeles, alleging that the Company violated the California Labor Code, among other claims. In December 2025, the Company agreed with the plaintiff to settle for the amount of $375.0 thousand. As a result, the Company recorded a total of $408.8 thousand in legal settlement expense, of which $375.0 thousand was recorded for the settlement with the plaintiff and the remaining $33.8 thousand was recorded for the related payroll tax expense as a result of the settlement payment. The legal settlement expense is included in operating expense on the consolidated statement of operations during the year ended December 31, 2025 and a corresponding amount was recorded in accrued liabilities, on the consolidated balance sheet.</w:t>
      </w:r>
    </w:p>
    <w:p>
      <w:pPr>
        <w:spacing w:after="0" w:line="141" w:lineRule="exact"/>
        <w:rPr>
          <w:sz w:val="20"/>
          <w:szCs w:val="20"/>
          <w:color w:val="auto"/>
        </w:rPr>
      </w:pPr>
    </w:p>
    <w:p>
      <w:pPr>
        <w:ind w:left="360" w:hanging="355"/>
        <w:spacing w:after="0"/>
        <w:tabs>
          <w:tab w:leader="none" w:pos="36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Based on the applicable criteria under the accounting standard, including quantitative thresholds, the Company determined that the Robotics Segment (the “Segment”) represents the one operating and reportable segment for the year ended December 31, 2025. The Segment is focused on enhancing the Company’s advanced, AI-powered robotics mobility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platform that integrates proprietary hardware, AI, computer vision, and cloud-based fleet management software to enable autonomous operation in complex, real-world settings.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financial information is available for evaluation by the chief operating decision maker (“CODM”) in deciding how to allocate resources and assess performance. The Company has identified our Chief Executive Officer as the chief operating decision maker. The CODM assesses performance for the Segment and decides how to allocate resources based on net loss, which is also reported on the consolidated statements of operations as consolidated net loss. The CODM uses consolidated net loss in deciding how to allocate capital within the Segment, and as a measurement to monitor budget versus actual results. The CODM also uses consolidated net loss in assessing performance of the Segment and in establishing management’s compensation.</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Segment derives revenue from customers by providing (i) services via the Company’s robot fleet, including delivery, branding and experiential services, (ii) access to software developed for the robot fleet, including certain autonomous capabilities, and (iii) access to data collected by the robot fleet, including navigation-related data. The majority of the Segment’s revenue is derived from robot delivery services and the Segment’s long-term partnerships with food delivery platforms. The Segment’s operations are primarily based in the United States and Canada, and it manages its business activities on a consolidated basis. The Segment derives all revenue from its United States operations. The Segment’s assets are primarily based in the United States. Assets based in foreign countries are not material to the operations of the Segment. The services provided by the robot fleet are offered and deployed in a similar manner across all jurisdictions in which the Company operates.</w:t>
      </w: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accounting policies of the Segment are the same as those described in the summary of significant accounting policies. The measure of segment assets is reported on the consolidated balance sheets as total consolidated assets. The Segment does not have intra-entity sales or transfers. Financial information for the Segment is consistent with the financial information presented in these consolidated financial statements. In addition to the expenses presented on the Company’s consolidated statements of operations, the CODM considers stock-based compensation expense as a significant expense within net loss. Refer to Note 10 for additional information about the Segment's stock-based compensation expense, which is consistent with the Company's consolidated stock-based compensation expense. Additional descriptions of the components of the financial information found throughout these consolidated financial statements are consistent with the information for the Segment, including the concentration of credit risk.</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SUBSEQUENT EVENTS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evaluated subsequent events and transactions that occurred after the balance sheet date up to the date of the filing of this Annual Report on Form 10-K. The Company did not identify any subsequent events, other than those disclosed in the Notes and discussed below, that would have required adjustment or disclosure in these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Diligent Robotics, Inc. Acquisition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27, 2026, the Company completed its acquisition of Diligent Robotics, Inc. (“Diligent”), a provider of AI-powered robot assistants for the healthcare industry. Pursuant to the Agreement and Plan of Merger (the “Diligent Merger Agreement”), dated as of January 19, 2026, by and among the Company, Delight Merger Sub, Inc., a Delaware corporation and direct wholly-owned subsidiary of the Company, Diligent, and Andrea Thomaz, an individual, solely in her capacity as the representative of the indemnifying securityholders, the Company acquired all of the issued and outstanding equity of Diligent (the “Diligent Acquisition”). Capitalized terms used in this section and not otherwise defined herein have the meanings set forth in the Diligent Merger Agreement.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terms of the Diligent Merger Agreement, the aggregate consideration paid by the Company to the Diligent Stockholders at the closing (the “Diligent Closing”) of the Diligent Acquisition had an aggregated value of $29.0 million, subject to a net debt adjustment, net working capital adjustment, and such other adjustments as set forth in the Diligent Merger Agreement (which amount includes a potential earnout of $5.3 million which may be earned upon the achievement of certain milestones set forth in the Diligent Merger Agreement). At the Diligent Closing, after giving effect to such adjustments (including approximately $19.0 million paid in cash to satisfy the net debt adjustment), the Company issued 32,835 shares of the Company’s common stock to the Diligent Stockholders. In addition, up to 366,332 shares of the Company’s common stock may be issued in the future as earnout consideration upon achievement of certain milestones set forth in the Diligent Merger Agreement. The Company also assumed 1,319,151 restricted stock units held by continuing employees of Diligent.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the Diligent Closing, each outstanding share of Diligent common stock (other than any Dissenting Shares), all Diligent Options, and all Diligent Warrants were automatically cancelled for no consideration and each outstanding share of Diligent preferred stock (other than Dissenting Shares) was automatically cancelled and converted into the right to receive shares of the Company’s common stock, (including any escrow releases and earnout consideration), as set forth in the Merger Agreement. Each restricted stock unit held by a Continuing Employee immediately prior to the Effective Time was assumed and converted by the Company into a Company RSU on a 1:1 basis and on substantially identical terms and conditions.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in the process of determining the fair values of the acquired assets and assumed liabilities, with assistance from a third-party specialist. The initial accounting for the Diligent Acquisition is incomplete due to the proximity of the transaction date to the filing of the Annual Report on Form 10-K for the fiscal year ended December 31, 2025. The preliminary allocation of the purchase consideration to the assets acquired and liabilities assumed is anticipated to be completed in the first quarter of fiscal 2026. The preliminary allocation is expected to result in the recognition of goodwill, intangible assets and tangible assets such as accounts receivable, inventories and property and equipment. The major classes of liabilities assumed are anticipated to be accounts payable, accrued liabilities and other long-term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Vebu Inc. Acquisition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17, 2026, the Company completed the acquisition of Vebu, Inc. (“Vebu”), a pioneer in the development of food technology. Pursuant to the Agreement and Plan of Merger (the “Vebu Merger Agreement”), dated as of February 5, 2026, by and among the Company, Serve Kitchen Robotics Inc., a Delaware corporation and direct wholly-owned subsidiary of the Company (“Merger Sub”), Vebu, Inc. (“Vebu”) and James Buckly Jordan, an individual, solely in his capacity as the representative of the indemnifying securityholders, the Company acquired all of the issued and outstanding equity of Vebu (the “Vebu Acquisition”).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Pursuant to the terms of the Vebu Merger Agreement, the aggregate consideration paid by the Company to the stockholders of Vebu at the closing of the Vebu Acquisition (the “Vebu Closing”) consisted of 118,128 shares of the Company’s common stock with an initial value of $3.8 million, subject to a net debt adjustment, net working capital adjustment, and such other adjustments as set forth in the Vebu Merger Agreement. In addition, the stockholders of Vebu may receive earnout consideration consisting of a number of shares of common stock equal to 33% of the net proceeds generated during the earnout period, divided by the volume-weighted average price of common stock over the earnout period, contingent upon the achievement of certain earnout milestones as set forth in the Vebu Merger Agreement. At the Vebu Closing, all outstanding options and warrants to purchase equity of Vebu were cancelled for no consideration. In accordance with the terms of the Vebu Merger Agreement, the Company paid $2.3 million in cash for the net debt adjustment, which reduced the aggregate stock consideration payable to the stockholders of Vebu on a dollar-for-dollar basis. The Company also assumed 500,000 restricted stock units held by continuing employees of Vebu.</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in the process of determining the fair values of the acquired assets and assumed liabilities, with assistance from a third-party specialist. The initial accounting for the Vebu Acquisition is incomplete due to the proximity of the transaction date to the filing of this Annual Report on Form 10-K. The preliminary allocation of the purchase consideration to the assets acquired and liabilities assumed is anticipated to be completed in the first quarter of fiscal 2026.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supervision of and with the participation of our management, including our principal executive officer and our principal financial officer, we conducted an evaluation of the effectiveness of our disclosure controls and procedures as of December 31, 2025, the end of the period covered by this report on Form 10-K.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upon our evaluation, our principal executive officer and principal financial officer concluded that our disclosure controls and procedures were not effective because of the material weaknesses in our internal control over financial reporting described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Our management, with the participation of our principal executive officer and principal financial officer, has evaluated the effectiveness of our internal control over financial reporting as of December 31, 2025 based on the framework established in Internal Control—Integrated Framework (2023) issued by the Committee of Sponsoring Organizations of the Treadway Commission (COSO). Based upon that evaluation, our management concluded that our internal control over financial reporting was not effective as of December 31, 2025 due to the material weaknesses described below.</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5" w:lineRule="exact"/>
        <w:rPr>
          <w:sz w:val="20"/>
          <w:szCs w:val="20"/>
          <w:color w:val="auto"/>
        </w:rPr>
      </w:pPr>
    </w:p>
    <w:p>
      <w:pPr>
        <w:ind w:left="520" w:hanging="260"/>
        <w:spacing w:after="0" w:line="271"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design and maintain an effective control environment as our size has prevented us from being able to employ sufficient resources. This material weakness contributed to the following additional material weaknesses.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design and maintain effective controls to verify appropriate segregation of duties.</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design and maintain effective controls related to substantially all accounts and disclosures. Specifically, the Company did not design and maintain comprehensive and formalized accounting and financial reporting policies and procedures that detail the information needed for our financial reporting process, including a robust review process by which management monitors for technical accounting requirements.</w:t>
      </w:r>
    </w:p>
    <w:p>
      <w:pPr>
        <w:spacing w:after="0" w:line="15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design and maintain effective controls over information technology (IT) general controls over information systems that are relevant to the preparation of the Company’s financial statements. Specifically,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did not design and maintain: (i) user access controls to ensure appropriate segregation of duties and to adequately restrict user and privileged access to appropriate personnel;</w:t>
      </w:r>
    </w:p>
    <w:p>
      <w:pPr>
        <w:spacing w:after="0" w:line="14" w:lineRule="exact"/>
        <w:rPr>
          <w:sz w:val="20"/>
          <w:szCs w:val="20"/>
          <w:color w:val="auto"/>
        </w:rPr>
      </w:pPr>
    </w:p>
    <w:p>
      <w:pPr>
        <w:jc w:val="both"/>
        <w:ind w:left="520" w:hanging="6"/>
        <w:spacing w:after="0" w:line="242" w:lineRule="auto"/>
        <w:tabs>
          <w:tab w:leader="none" w:pos="74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 change management controls to ensure that program and data changes are identified, tested, authorized and implemented appropriately,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1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These material weaknesses resulted in immaterial errors during the interim and annual periods during 2025 and 2024. Additionally,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our independent registered accounting firm on management’s assessment regarding internal control over financial reporting due to the exemption from such requirements established by rules of the SEC for emerging growth companies.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Status of Remediation Plan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response to the identification of the material weaknesses, our management team has established and is executing a remediation plan designed to address these material weaknesses. We are currently undertaking and evaluating a number of steps to remediate the underlying causes of these material weaknesses, including:</w:t>
      </w:r>
    </w:p>
    <w:p>
      <w:pPr>
        <w:spacing w:after="0" w:line="135" w:lineRule="exact"/>
        <w:rPr>
          <w:sz w:val="20"/>
          <w:szCs w:val="20"/>
          <w:color w:val="auto"/>
        </w:rPr>
      </w:pPr>
    </w:p>
    <w:p>
      <w:pPr>
        <w:ind w:left="520" w:hanging="260"/>
        <w:spacing w:after="0" w:line="27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additional qualified personnel, including a Chief Financial Officer, Corporate Controller, and Vice President of Security in 2024, to address critical skill gaps and provide enhanced leadership to our Finance and Accounting functions.</w:t>
      </w:r>
    </w:p>
    <w:p>
      <w:pPr>
        <w:spacing w:after="0" w:line="145"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an enterprise resource planning (ERP) system, which is expected to enhance our ability to maintain appropriate segregation of duties, provide a workflow to systemically support the evidence of transaction review and approval, enhance the design of IT general controls and provide relevant training to personnel.</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Engaged a third party to advise us on design and implementation controls for key business processes, policies and systems to support financial close and reporting procedures and technical accounting matters.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 segregation of duties assessment review identifying key conflicts and design of mitigating controls.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committed to remediating the material weaknesses and the actions the Company is taking are subject to ongoing senior management review, as well as oversight from the Company’s Audit Committee.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17, 2025, Euan Abraham, our Chief Hardware and Manufacturing Officer, entered into a Rule 10b5-1 trading plan intended to satisfy the affirmative defense conditions of Rule 10b5-1(c) under the Exchange Act with respect to the potential sale of up to 70,875 shares of the Company’s common stock. The arrangement has a termination date of the earlier of (i) November 13, 2026 or (ii) the date on which an aggregate of 70,875 shares of the Company’s common stock have been sold under the Rule 10b5-1 trading plan. In no event will sales occur under the trading plan prior to February 17, 2026. As of the date of this Annual Report on Form 10-K, none of the shares have been sold and no other adjustments were made to the trading plan during the quarterly period covered by this Annual Report on Form 10-K.</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as disclosed above, during the fiscal quarter ended December 31, 2025, no director or officer of the Company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board of directors has adopted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with this Annual Report on Form 10-K as Exhibit 19.1.</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board of directors has also adopted a code of business conduct and ethics applicable to all officers, directors, and employees, which are available on our website at investors.serverobotics.com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Annual Meeting of Stockholders to be filed with the SEC within 120 days of the fiscal year ended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Annual Meeting of Stockholders to be filed with the SEC within 120 days of the fiscal year ended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Annual Meeting of Stockholders to be filed with the SEC within 120 days of the fiscal year ended December 31,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filed the following documents as part of this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“Index to the Consolidated Financial Statements”</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i w:val="1"/>
          <w:iCs w:val="1"/>
          <w:color w:val="auto"/>
        </w:rPr>
        <w:t>Part II, Item 8. “Financial Statements and Supplementary Data”</w:t>
      </w:r>
      <w:r>
        <w:rPr>
          <w:rFonts w:ascii="Times New Roman" w:cs="Times New Roman" w:eastAsia="Times New Roman" w:hAnsi="Times New Roman"/>
          <w:sz w:val="14"/>
          <w:szCs w:val="14"/>
          <w:color w:val="auto"/>
        </w:rPr>
        <w:t xml:space="preserve"> of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All schedules have been omitted because they are not required, not applicable, not present in amounts sufficient to require submission of the schedule, or the required information is otherwise included.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filed in response to Item 601 of Regulation S-K are listed in the Exhibit Index.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648"/>
        </w:trPr>
        <w:tc>
          <w:tcPr>
            <w:tcW w:w="10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0" w:type="dxa"/>
            <w:vAlign w:val="bottom"/>
            <w:gridSpan w:val="16"/>
          </w:tcPr>
          <w:p>
            <w:pPr>
              <w:jc w:val="center"/>
              <w:ind w:right="42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84"/>
        </w:trPr>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640" w:type="dxa"/>
            <w:vAlign w:val="bottom"/>
            <w:tcBorders>
              <w:bottom w:val="single" w:sz="8" w:color="0000EE"/>
            </w:tcBorders>
            <w:gridSpan w:val="24"/>
            <w:shd w:val="clear" w:color="auto" w:fill="CCEEFF"/>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Amended and Restated Certificate of Incorporation, filed with the Secretary of State of the State of Delaware on July 31, 2023 (incorporated by reference to Exhibit 3.2</w:t>
              </w:r>
            </w:hyperlink>
          </w:p>
        </w:tc>
        <w:tc>
          <w:tcPr>
            <w:tcW w:w="60" w:type="dxa"/>
            <w:vAlign w:val="bottom"/>
            <w:tcBorders>
              <w:bottom w:val="single" w:sz="8" w:color="CCEEFF"/>
            </w:tcBorders>
            <w:shd w:val="clear" w:color="auto" w:fill="CCEEFF"/>
          </w:tcPr>
          <w:p>
            <w:pPr>
              <w:spacing w:after="0"/>
              <w:rPr>
                <w:sz w:val="12"/>
                <w:szCs w:val="12"/>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5"/>
            <w:shd w:val="clear" w:color="auto" w:fill="CCEEFF"/>
          </w:tcPr>
          <w:p>
            <w:pPr>
              <w:spacing w:after="0" w:line="150"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to the Current Report on Form 8-K filed with the SEC on August 4, 2023).</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9"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Amended and Restated Bylaws (incorporated by reference to Exhibit 3.3 to the 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5"/>
            <w:shd w:val="clear" w:color="auto" w:fill="CCEEFF"/>
          </w:tcPr>
          <w:p>
            <w:pPr>
              <w:spacing w:after="0" w:line="15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August Exchange Warrant (incorporated by reference to Exhibit 10.5 to the Current Report on Form 8-K filed with the SEC on August 28, 2024).</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0" w:type="dxa"/>
            <w:vAlign w:val="bottom"/>
            <w:tcBorders>
              <w:bottom w:val="single" w:sz="8" w:color="0000FF"/>
            </w:tcBorders>
            <w:gridSpan w:val="22"/>
          </w:tcPr>
          <w:p>
            <w:pPr>
              <w:spacing w:after="0" w:line="15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Common Stock Purchase Warrant, dated as of August 15, 2025 (incorporated by reference to Exhibit 4.1 to the Current Report on Form 8-K filed with the SEC on</w:t>
              </w:r>
            </w:hyperlink>
          </w:p>
        </w:tc>
        <w:tc>
          <w:tcPr>
            <w:tcW w:w="10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4.2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0"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August 18, 2025)</w:t>
              </w:r>
              <w:r>
                <w:rPr>
                  <w:rFonts w:ascii="Times New Roman" w:cs="Times New Roman" w:eastAsia="Times New Roman" w:hAnsi="Times New Roman"/>
                  <w:sz w:val="14"/>
                  <w:szCs w:val="14"/>
                  <w:u w:val="single" w:color="auto"/>
                  <w:color w:val="0000FF"/>
                </w:rPr>
                <w:t>.</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4.3</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5"/>
            <w:shd w:val="clear" w:color="auto" w:fill="CCEEFF"/>
          </w:tcPr>
          <w:p>
            <w:pPr>
              <w:spacing w:after="0" w:line="15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Description of Securities (incorporated by reference to Exhibit 4.8 to the Annual Report on Form 10-K filed with the SEC on February 29, 2024)</w:t>
              </w:r>
            </w:hyperlink>
            <w:r>
              <w:rPr>
                <w:rFonts w:ascii="Times New Roman" w:cs="Times New Roman" w:eastAsia="Times New Roman" w:hAnsi="Times New Roman"/>
                <w:sz w:val="14"/>
                <w:szCs w:val="14"/>
                <w:color w:val="000000"/>
              </w:rPr>
              <w:t>.</w:t>
            </w: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0" w:type="dxa"/>
            <w:vAlign w:val="bottom"/>
            <w:tcBorders>
              <w:bottom w:val="single" w:sz="8" w:color="0000EE"/>
            </w:tcBorders>
            <w:gridSpan w:val="22"/>
          </w:tcPr>
          <w:p>
            <w:pPr>
              <w:spacing w:after="0" w:line="159"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Offer Letter, dated as of March 1, 2021, by and between Touraj Parang and the Company (incorporated by reference to Exhibit 10.1 to the Current Report on Form 8-K</w:t>
              </w:r>
            </w:hyperlink>
          </w:p>
        </w:tc>
        <w:tc>
          <w:tcPr>
            <w:tcW w:w="10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0"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tcBorders>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Offer Letter, dated March 24, 2024, by and between Brian Read and Serve Operating Co. (incorporated by reference to Exhibit 10.1 to the Company’s Current Report on</w:t>
              </w:r>
            </w:hyperlink>
          </w:p>
        </w:tc>
        <w:tc>
          <w:tcPr>
            <w:tcW w:w="60" w:type="dxa"/>
            <w:vAlign w:val="bottom"/>
            <w:tcBorders>
              <w:bottom w:val="single" w:sz="8" w:color="CCEEFF"/>
            </w:tcBorders>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10.2+§</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8-K filed with the SEC on April 9, 2024).</w:t>
              </w:r>
            </w:hyperlink>
          </w:p>
        </w:tc>
        <w:tc>
          <w:tcPr>
            <w:tcW w:w="7000" w:type="dxa"/>
            <w:vAlign w:val="bottom"/>
            <w:tcBorders>
              <w:bottom w:val="single" w:sz="8" w:color="CCEEFF"/>
            </w:tcBorders>
            <w:gridSpan w:val="16"/>
            <w:shd w:val="clear" w:color="auto" w:fill="CCEEFF"/>
          </w:tcPr>
          <w:p>
            <w:pPr>
              <w:spacing w:after="0"/>
              <w:rPr>
                <w:sz w:val="14"/>
                <w:szCs w:val="14"/>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9"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Form of Pre-Merger Indemnification Agreement (incorporated by reference to Exhibit 10.21 to the 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10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tcBorders>
            <w:gridSpan w:val="19"/>
            <w:shd w:val="clear" w:color="auto" w:fill="CCEEFF"/>
          </w:tcPr>
          <w:p>
            <w:pPr>
              <w:spacing w:after="0" w:line="159"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2021 Stock Plan and form of award agreements (incorporated by reference to Exhibit 10.24 to the Current Report on Form 8-K filed with the SEC on August 4, 2023).</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0" w:type="dxa"/>
            <w:vAlign w:val="bottom"/>
            <w:tcBorders>
              <w:bottom w:val="single" w:sz="8" w:color="0000FF"/>
            </w:tcBorders>
            <w:gridSpan w:val="22"/>
          </w:tcPr>
          <w:p>
            <w:pPr>
              <w:spacing w:after="0" w:line="15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2023 Equity Incentive Plan and form of award agreements (incorporated by reference to Exhibit 10.29 to the Company’s report on Form 10-K filed with the SEC on</w:t>
              </w:r>
            </w:hyperlink>
          </w:p>
        </w:tc>
        <w:tc>
          <w:tcPr>
            <w:tcW w:w="10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February 29, 2024).</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10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 xml:space="preserve">Amendment to Serve Robotics </w:t>
              </w:r>
            </w:hyperlink>
            <w:r>
              <w:rPr>
                <w:rFonts w:ascii="Times New Roman" w:cs="Times New Roman" w:eastAsia="Times New Roman" w:hAnsi="Times New Roman"/>
                <w:sz w:val="14"/>
                <w:szCs w:val="14"/>
                <w:color w:val="0000FF"/>
              </w:rPr>
              <w:t xml:space="preserve">Inc.’s </w:t>
            </w:r>
            <w:hyperlink r:id="rId140">
              <w:r>
                <w:rPr>
                  <w:rFonts w:ascii="Times New Roman" w:cs="Times New Roman" w:eastAsia="Times New Roman" w:hAnsi="Times New Roman"/>
                  <w:sz w:val="14"/>
                  <w:szCs w:val="14"/>
                  <w:color w:val="0000FF"/>
                </w:rPr>
                <w:t>2023 Equity Incentive Plan (incorporated by reference to the Company’s Form DEF14A filed with the SEC on June 7, 2024).</w:t>
              </w:r>
            </w:hyperlink>
          </w:p>
        </w:tc>
        <w:tc>
          <w:tcPr>
            <w:tcW w:w="460" w:type="dxa"/>
            <w:vAlign w:val="bottom"/>
            <w:tcBorders>
              <w:bottom w:val="single" w:sz="8" w:color="CCEEFF"/>
            </w:tcBorders>
            <w:gridSpan w:val="8"/>
            <w:shd w:val="clear" w:color="auto" w:fill="CCEEFF"/>
          </w:tcPr>
          <w:p>
            <w:pPr>
              <w:spacing w:after="0"/>
              <w:rPr>
                <w:sz w:val="15"/>
                <w:szCs w:val="15"/>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 xml:space="preserve">Amendment to Serve Robotics </w:t>
              </w:r>
            </w:hyperlink>
            <w:r>
              <w:rPr>
                <w:rFonts w:ascii="Times New Roman" w:cs="Times New Roman" w:eastAsia="Times New Roman" w:hAnsi="Times New Roman"/>
                <w:sz w:val="14"/>
                <w:szCs w:val="14"/>
                <w:color w:val="0000FF"/>
              </w:rPr>
              <w:t xml:space="preserve">Inc.’s </w:t>
            </w:r>
            <w:hyperlink r:id="rId141">
              <w:r>
                <w:rPr>
                  <w:rFonts w:ascii="Times New Roman" w:cs="Times New Roman" w:eastAsia="Times New Roman" w:hAnsi="Times New Roman"/>
                  <w:sz w:val="14"/>
                  <w:szCs w:val="14"/>
                  <w:color w:val="0000FF"/>
                </w:rPr>
                <w:t>2023 Equity Incentive Plan (incorporated by reference to the Company’s Form DEF14A filed with the SEC on April 25, 2025).</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tcBorders>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Vayu Robotics, Inc. 2022 Equity Incentive Plan (incorporated by reference to Exhibit 99.1 to the Registration Statement on Form S-8 filed with the SEC on August 25,</w:t>
              </w:r>
            </w:hyperlink>
          </w:p>
        </w:tc>
        <w:tc>
          <w:tcPr>
            <w:tcW w:w="60" w:type="dxa"/>
            <w:vAlign w:val="bottom"/>
            <w:tcBorders>
              <w:bottom w:val="single" w:sz="8" w:color="CCEEFF"/>
            </w:tcBorders>
            <w:shd w:val="clear" w:color="auto" w:fill="CCEEFF"/>
          </w:tcPr>
          <w:p>
            <w:pPr>
              <w:spacing w:after="0"/>
              <w:rPr>
                <w:sz w:val="13"/>
                <w:szCs w:val="13"/>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10.8+</w:t>
            </w:r>
          </w:p>
        </w:tc>
        <w:tc>
          <w:tcPr>
            <w:tcW w:w="4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20"/>
              <w:spacing w:after="0" w:line="150" w:lineRule="exact"/>
              <w:rPr>
                <w:rFonts w:ascii="Times New Roman" w:cs="Times New Roman" w:eastAsia="Times New Roman" w:hAnsi="Times New Roman"/>
                <w:sz w:val="14"/>
                <w:szCs w:val="14"/>
                <w:color w:val="0000FF"/>
                <w:w w:val="93"/>
              </w:rPr>
            </w:pPr>
            <w:hyperlink r:id="rId142">
              <w:r>
                <w:rPr>
                  <w:rFonts w:ascii="Times New Roman" w:cs="Times New Roman" w:eastAsia="Times New Roman" w:hAnsi="Times New Roman"/>
                  <w:sz w:val="14"/>
                  <w:szCs w:val="14"/>
                  <w:color w:val="0000FF"/>
                  <w:w w:val="93"/>
                </w:rPr>
                <w:t>2025).</w:t>
              </w:r>
            </w:hyperlink>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bottom w:val="single" w:sz="8" w:color="0000FF"/>
            </w:tcBorders>
            <w:gridSpan w:val="24"/>
          </w:tcPr>
          <w:p>
            <w:pPr>
              <w:spacing w:after="0" w:line="15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Vayu Robotics, Inc. 2025 Equity Incentive Plan (incorporated by reference to Exhibit 99.2 to the Registration Statement on Form S-8 filed with the SEC on August 25,</w:t>
              </w:r>
            </w:hyperlink>
          </w:p>
        </w:tc>
        <w:tc>
          <w:tcPr>
            <w:tcW w:w="60" w:type="dxa"/>
            <w:vAlign w:val="bottom"/>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10.9+</w:t>
            </w:r>
          </w:p>
        </w:tc>
        <w:tc>
          <w:tcPr>
            <w:tcW w:w="460" w:type="dxa"/>
            <w:vAlign w:val="bottom"/>
          </w:tcPr>
          <w:p>
            <w:pPr>
              <w:spacing w:after="0"/>
              <w:rPr>
                <w:sz w:val="13"/>
                <w:szCs w:val="13"/>
                <w:color w:val="auto"/>
              </w:rPr>
            </w:pPr>
          </w:p>
        </w:tc>
        <w:tc>
          <w:tcPr>
            <w:tcW w:w="480" w:type="dxa"/>
            <w:vAlign w:val="bottom"/>
            <w:gridSpan w:val="2"/>
          </w:tcPr>
          <w:p>
            <w:pPr>
              <w:ind w:left="120"/>
              <w:spacing w:after="0" w:line="150" w:lineRule="exact"/>
              <w:rPr>
                <w:rFonts w:ascii="Times New Roman" w:cs="Times New Roman" w:eastAsia="Times New Roman" w:hAnsi="Times New Roman"/>
                <w:sz w:val="14"/>
                <w:szCs w:val="14"/>
                <w:color w:val="0000FF"/>
                <w:w w:val="93"/>
              </w:rPr>
            </w:pPr>
            <w:hyperlink r:id="rId143">
              <w:r>
                <w:rPr>
                  <w:rFonts w:ascii="Times New Roman" w:cs="Times New Roman" w:eastAsia="Times New Roman" w:hAnsi="Times New Roman"/>
                  <w:sz w:val="14"/>
                  <w:szCs w:val="14"/>
                  <w:color w:val="0000FF"/>
                  <w:w w:val="93"/>
                </w:rPr>
                <w:t>2025).</w:t>
              </w:r>
            </w:hyperlink>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5"/>
            <w:shd w:val="clear" w:color="auto" w:fill="CCEEFF"/>
          </w:tcPr>
          <w:p>
            <w:pPr>
              <w:spacing w:after="0" w:line="15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Serve Robotics Inc. Amended and Restated Outside Director Compensation Policy (incorporated by reference to Exhibit 10.25 to the Annual Report on Form 10-K filed</w:t>
              </w:r>
            </w:hyperlink>
          </w:p>
        </w:tc>
      </w:tr>
      <w:tr>
        <w:trPr>
          <w:trHeight w:val="172"/>
        </w:trPr>
        <w:tc>
          <w:tcPr>
            <w:tcW w:w="100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10.10+</w:t>
            </w: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80" w:type="dxa"/>
            <w:vAlign w:val="bottom"/>
            <w:tcBorders>
              <w:top w:val="single" w:sz="8" w:color="0000FF"/>
              <w:bottom w:val="single" w:sz="8" w:color="0000FF"/>
            </w:tcBorders>
            <w:gridSpan w:val="4"/>
            <w:shd w:val="clear" w:color="auto" w:fill="CCEEFF"/>
          </w:tcPr>
          <w:p>
            <w:pPr>
              <w:spacing w:after="0" w:line="150"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with the SEC on March 6, 2025).</w:t>
              </w:r>
            </w:hyperlink>
          </w:p>
        </w:tc>
        <w:tc>
          <w:tcPr>
            <w:tcW w:w="77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August Registration Rights Agreement (incorporated by reference to Exhibit 10.2 to the Current Report on Form 8-K filed with the SEC on August 28, 2024).</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9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10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FF"/>
            </w:tcBorders>
            <w:gridSpan w:val="20"/>
            <w:shd w:val="clear" w:color="auto" w:fill="CCEEFF"/>
          </w:tcPr>
          <w:p>
            <w:pPr>
              <w:spacing w:after="0" w:line="15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August Securities Purchase Agreement (incorporated by reference to Exhibit 10.1 to the Current Report on Form 8-K filed with the SEC on August 28, 2024).</w:t>
              </w:r>
            </w:hyperlink>
          </w:p>
        </w:tc>
        <w:tc>
          <w:tcPr>
            <w:tcW w:w="240" w:type="dxa"/>
            <w:vAlign w:val="bottom"/>
            <w:tcBorders>
              <w:bottom w:val="single" w:sz="8" w:color="CCEEFF"/>
            </w:tcBorders>
            <w:gridSpan w:val="5"/>
            <w:shd w:val="clear" w:color="auto" w:fill="CCEEFF"/>
          </w:tcPr>
          <w:p>
            <w:pPr>
              <w:spacing w:after="0"/>
              <w:rPr>
                <w:sz w:val="15"/>
                <w:szCs w:val="15"/>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Securities Purchase Agreement, by and among the Company and the Purchaser (incorporated by reference to Exhibit 10.1 to the Current Report on Form 8-K</w:t>
              </w:r>
            </w:hyperlink>
          </w:p>
        </w:tc>
        <w:tc>
          <w:tcPr>
            <w:tcW w:w="80" w:type="dxa"/>
            <w:vAlign w:val="bottom"/>
            <w:gridSpan w:val="2"/>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filed with the SEC on January 7, 2025).</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20" w:type="dxa"/>
            <w:vAlign w:val="bottom"/>
            <w:tcBorders>
              <w:bottom w:val="single" w:sz="8" w:color="0000FF"/>
            </w:tcBorders>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Placement Agency Agreement, dated January 7, 2025, by and between Serve Robotics Inc. and Northland Securities, Inc. (incorporated by reference to Exhibit 10.2 to</w:t>
              </w:r>
            </w:hyperlink>
          </w:p>
        </w:tc>
        <w:tc>
          <w:tcPr>
            <w:tcW w:w="80" w:type="dxa"/>
            <w:vAlign w:val="bottom"/>
            <w:tcBorders>
              <w:bottom w:val="single" w:sz="8" w:color="CCEEFF"/>
            </w:tcBorders>
            <w:gridSpan w:val="2"/>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10.14</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120" w:type="dxa"/>
            <w:vAlign w:val="bottom"/>
            <w:tcBorders>
              <w:bottom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the Current Report on Form 8-K filed with the SEC on January 7, 2025).</w:t>
              </w:r>
            </w:hyperlink>
          </w:p>
        </w:tc>
        <w:tc>
          <w:tcPr>
            <w:tcW w:w="5580" w:type="dxa"/>
            <w:vAlign w:val="bottom"/>
            <w:tcBorders>
              <w:bottom w:val="single" w:sz="8" w:color="CCEEFF"/>
            </w:tcBorders>
            <w:gridSpan w:val="14"/>
            <w:shd w:val="clear" w:color="auto" w:fill="CCEEFF"/>
          </w:tcPr>
          <w:p>
            <w:pPr>
              <w:spacing w:after="0"/>
              <w:rPr>
                <w:sz w:val="14"/>
                <w:szCs w:val="14"/>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Securities Purchase Agreement, by and among the Company and the Purchasers (incorporated by reference to Exhibit 10.1 to the Current Report on Form 8-K</w:t>
              </w:r>
            </w:hyperlink>
          </w:p>
        </w:tc>
        <w:tc>
          <w:tcPr>
            <w:tcW w:w="80" w:type="dxa"/>
            <w:vAlign w:val="bottom"/>
            <w:gridSpan w:val="2"/>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10.15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0"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filed with the SEC on October 10, 2025).</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20" w:type="dxa"/>
            <w:vAlign w:val="bottom"/>
            <w:tcBorders>
              <w:bottom w:val="single" w:sz="8" w:color="0000FF"/>
            </w:tcBorders>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Placement Agency Agreement, dated October 10, 2025, by and between Serve Robotics Inc. and Northland Securities, Inc. (incorporated by reference to Exhibit 10.2 to</w:t>
              </w:r>
            </w:hyperlink>
          </w:p>
        </w:tc>
        <w:tc>
          <w:tcPr>
            <w:tcW w:w="80" w:type="dxa"/>
            <w:vAlign w:val="bottom"/>
            <w:tcBorders>
              <w:bottom w:val="single" w:sz="8" w:color="CCEEFF"/>
            </w:tcBorders>
            <w:gridSpan w:val="2"/>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10.16</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0" w:type="dxa"/>
            <w:vAlign w:val="bottom"/>
            <w:tcBorders>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the Current Report on Form 8-K filed with the SEC on October 10, 2025).</w:t>
              </w:r>
            </w:hyperlink>
          </w:p>
        </w:tc>
        <w:tc>
          <w:tcPr>
            <w:tcW w:w="5500" w:type="dxa"/>
            <w:vAlign w:val="bottom"/>
            <w:tcBorders>
              <w:bottom w:val="single" w:sz="8" w:color="CCEEFF"/>
            </w:tcBorders>
            <w:gridSpan w:val="13"/>
            <w:shd w:val="clear" w:color="auto" w:fill="CCEEFF"/>
          </w:tcPr>
          <w:p>
            <w:pPr>
              <w:spacing w:after="0"/>
              <w:rPr>
                <w:sz w:val="14"/>
                <w:szCs w:val="14"/>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5"/>
          </w:tcPr>
          <w:p>
            <w:pPr>
              <w:spacing w:after="0" w:line="15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Letter from dbbmckennon as to the change in certifying accountant, dated March 6, 2025 (incorporated by reference to Exhibit 16.1 to the Current Report on Form 8-K</w:t>
              </w:r>
            </w:hyperlink>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16.1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0" w:type="dxa"/>
            <w:vAlign w:val="bottom"/>
            <w:tcBorders>
              <w:top w:val="single" w:sz="8" w:color="0000FF"/>
            </w:tcBorders>
            <w:gridSpan w:val="22"/>
          </w:tcPr>
          <w:p>
            <w:pPr>
              <w:spacing w:after="0" w:line="150"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filed with the SEC on March 6, 2025).</w:t>
              </w:r>
            </w:hyperlink>
          </w:p>
        </w:tc>
        <w:tc>
          <w:tcPr>
            <w:tcW w:w="100" w:type="dxa"/>
            <w:vAlign w:val="bottom"/>
            <w:gridSpan w:val="3"/>
          </w:tcPr>
          <w:p>
            <w:pPr>
              <w:spacing w:after="0"/>
              <w:rPr>
                <w:sz w:val="13"/>
                <w:szCs w:val="13"/>
                <w:color w:val="auto"/>
              </w:rPr>
            </w:pPr>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7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4"/>
                <w:szCs w:val="14"/>
                <w:color w:val="0000FF"/>
              </w:rPr>
              <w:t>Serve Robotics Inc. Amended and Restated Insider Trading Policy.</w:t>
            </w:r>
          </w:p>
        </w:tc>
      </w:tr>
      <w:tr>
        <w:trPr>
          <w:trHeight w:val="721"/>
        </w:trPr>
        <w:tc>
          <w:tcPr>
            <w:tcW w:w="10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780" w:type="dxa"/>
            <w:vAlign w:val="bottom"/>
            <w:tcBorders>
              <w:top w:val="single" w:sz="8" w:color="0000FF"/>
            </w:tcBorders>
            <w:gridSpan w:val="10"/>
          </w:tcPr>
          <w:p>
            <w:pPr>
              <w:spacing w:after="0"/>
              <w:rPr>
                <w:sz w:val="24"/>
                <w:szCs w:val="24"/>
                <w:color w:val="auto"/>
              </w:rPr>
            </w:pPr>
          </w:p>
        </w:tc>
        <w:tc>
          <w:tcPr>
            <w:tcW w:w="4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76"/>
        </w:trPr>
        <w:tc>
          <w:tcPr>
            <w:tcW w:w="10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9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839"/>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580" w:type="dxa"/>
            <w:vAlign w:val="bottom"/>
          </w:tcPr>
          <w:p>
            <w:pPr>
              <w:spacing w:after="0"/>
              <w:rPr>
                <w:sz w:val="24"/>
                <w:szCs w:val="24"/>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Subsidiaries of the Registrant</w:t>
            </w:r>
            <w:r>
              <w:rPr>
                <w:rFonts w:ascii="Times New Roman" w:cs="Times New Roman" w:eastAsia="Times New Roman" w:hAnsi="Times New Roman"/>
                <w:sz w:val="14"/>
                <w:szCs w:val="14"/>
                <w:color w:val="000000"/>
              </w:rPr>
              <w:t>.</w:t>
            </w:r>
          </w:p>
        </w:tc>
      </w:tr>
      <w:tr>
        <w:trPr>
          <w:trHeight w:val="26"/>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8"/>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580" w:type="dxa"/>
            <w:vAlign w:val="bottom"/>
            <w:shd w:val="clear" w:color="auto" w:fill="CCEEFF"/>
          </w:tcPr>
          <w:p>
            <w:pPr>
              <w:spacing w:after="0"/>
              <w:rPr>
                <w:sz w:val="16"/>
                <w:szCs w:val="16"/>
                <w:color w:val="auto"/>
              </w:rPr>
            </w:pPr>
          </w:p>
        </w:tc>
        <w:tc>
          <w:tcPr>
            <w:tcW w:w="9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Consent of PricewaterhouseCoopers LLP.</w:t>
            </w:r>
          </w:p>
        </w:tc>
      </w:tr>
      <w:tr>
        <w:trPr>
          <w:trHeight w:val="159"/>
        </w:trPr>
        <w:tc>
          <w:tcPr>
            <w:tcW w:w="100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23.2*</w:t>
            </w:r>
          </w:p>
        </w:tc>
        <w:tc>
          <w:tcPr>
            <w:tcW w:w="580" w:type="dxa"/>
            <w:vAlign w:val="bottom"/>
            <w:tcBorders>
              <w:top w:val="single" w:sz="8" w:color="CCEEFF"/>
            </w:tcBorders>
          </w:tcPr>
          <w:p>
            <w:pPr>
              <w:spacing w:after="0"/>
              <w:rPr>
                <w:sz w:val="13"/>
                <w:szCs w:val="13"/>
                <w:color w:val="auto"/>
              </w:rPr>
            </w:pPr>
          </w:p>
        </w:tc>
        <w:tc>
          <w:tcPr>
            <w:tcW w:w="2360" w:type="dxa"/>
            <w:vAlign w:val="bottom"/>
            <w:tcBorders>
              <w:top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FF"/>
              </w:rPr>
              <w:t>Consent of dbbmckennon.</w:t>
            </w:r>
          </w:p>
        </w:tc>
        <w:tc>
          <w:tcPr>
            <w:tcW w:w="7340" w:type="dxa"/>
            <w:vAlign w:val="bottom"/>
            <w:tcBorders>
              <w:top w:val="single" w:sz="8" w:color="CCEEFF"/>
            </w:tcBorders>
            <w:gridSpan w:val="5"/>
          </w:tcPr>
          <w:p>
            <w:pPr>
              <w:spacing w:after="0"/>
              <w:rPr>
                <w:sz w:val="13"/>
                <w:szCs w:val="13"/>
                <w:color w:val="auto"/>
              </w:rPr>
            </w:pPr>
          </w:p>
        </w:tc>
      </w:tr>
      <w:tr>
        <w:trPr>
          <w:trHeight w:val="22"/>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1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580" w:type="dxa"/>
            <w:vAlign w:val="bottom"/>
            <w:shd w:val="clear" w:color="auto" w:fill="CCEEFF"/>
          </w:tcPr>
          <w:p>
            <w:pPr>
              <w:spacing w:after="0"/>
              <w:rPr>
                <w:sz w:val="15"/>
                <w:szCs w:val="15"/>
                <w:color w:val="auto"/>
              </w:rPr>
            </w:pPr>
          </w:p>
        </w:tc>
        <w:tc>
          <w:tcPr>
            <w:tcW w:w="9700" w:type="dxa"/>
            <w:vAlign w:val="bottom"/>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Executive Officer, pursuant to Section 302 of the Sarbanes-Oxley Act of 2002</w:t>
            </w:r>
          </w:p>
        </w:tc>
      </w:tr>
      <w:tr>
        <w:trPr>
          <w:trHeight w:val="159"/>
        </w:trPr>
        <w:tc>
          <w:tcPr>
            <w:tcW w:w="100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580" w:type="dxa"/>
            <w:vAlign w:val="bottom"/>
            <w:tcBorders>
              <w:top w:val="single" w:sz="8" w:color="CCEEFF"/>
            </w:tcBorders>
          </w:tcPr>
          <w:p>
            <w:pPr>
              <w:spacing w:after="0"/>
              <w:rPr>
                <w:sz w:val="13"/>
                <w:szCs w:val="13"/>
                <w:color w:val="auto"/>
              </w:rPr>
            </w:pPr>
          </w:p>
        </w:tc>
        <w:tc>
          <w:tcPr>
            <w:tcW w:w="5860" w:type="dxa"/>
            <w:vAlign w:val="bottom"/>
            <w:tcBorders>
              <w:top w:val="single" w:sz="8" w:color="0000EE"/>
            </w:tcBorders>
            <w:gridSpan w:val="7"/>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Financial Officer, pursuant to Section 302 of the Sarbanes-Oxley Act of 2002</w:t>
            </w:r>
          </w:p>
        </w:tc>
        <w:tc>
          <w:tcPr>
            <w:tcW w:w="3840" w:type="dxa"/>
            <w:vAlign w:val="bottom"/>
            <w:tcBorders>
              <w:top w:val="single" w:sz="8" w:color="CCEEFF"/>
            </w:tcBorders>
            <w:gridSpan w:val="3"/>
          </w:tcPr>
          <w:p>
            <w:pPr>
              <w:spacing w:after="0"/>
              <w:rPr>
                <w:sz w:val="13"/>
                <w:szCs w:val="13"/>
                <w:color w:val="auto"/>
              </w:rPr>
            </w:pPr>
          </w:p>
        </w:tc>
      </w:tr>
      <w:tr>
        <w:trPr>
          <w:trHeight w:val="22"/>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700" w:type="dxa"/>
            <w:vAlign w:val="bottom"/>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Executive Officer, pursuant to Section 906 of the Sarbanes-Oxley Act of 2002 (Subsections (a) and (b) of Section 1350, Chapter 63 of Title 18,</w:t>
            </w:r>
          </w:p>
        </w:tc>
      </w:tr>
      <w:tr>
        <w:trPr>
          <w:trHeight w:val="172"/>
        </w:trPr>
        <w:tc>
          <w:tcPr>
            <w:tcW w:w="10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32.1**</w:t>
            </w: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0000EE"/>
              <w:bottom w:val="single" w:sz="8" w:color="0000EE"/>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EE"/>
                <w:w w:val="99"/>
              </w:rPr>
              <w:t>United States Code)</w:t>
            </w:r>
          </w:p>
        </w:tc>
        <w:tc>
          <w:tcPr>
            <w:tcW w:w="8460" w:type="dxa"/>
            <w:vAlign w:val="bottom"/>
            <w:tcBorders>
              <w:top w:val="single" w:sz="8" w:color="0000EE"/>
              <w:bottom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9"/>
        </w:trPr>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00" w:type="dxa"/>
            <w:vAlign w:val="bottom"/>
            <w:gridSpan w:val="10"/>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Financial Officer, pursuant to Section 906 of the Sarbanes-Oxley Act of 2002 (Subsections (a) and (b) of Section 1350, Chapter 63 of Title 18,</w:t>
            </w:r>
          </w:p>
        </w:tc>
      </w:tr>
      <w:tr>
        <w:trPr>
          <w:trHeight w:val="139"/>
        </w:trPr>
        <w:tc>
          <w:tcPr>
            <w:tcW w:w="10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32.2**</w:t>
            </w:r>
          </w:p>
        </w:tc>
        <w:tc>
          <w:tcPr>
            <w:tcW w:w="580" w:type="dxa"/>
            <w:vAlign w:val="bottom"/>
          </w:tcPr>
          <w:p>
            <w:pPr>
              <w:spacing w:after="0"/>
              <w:rPr>
                <w:sz w:val="12"/>
                <w:szCs w:val="12"/>
                <w:color w:val="auto"/>
              </w:rPr>
            </w:pPr>
          </w:p>
        </w:tc>
        <w:tc>
          <w:tcPr>
            <w:tcW w:w="114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United States Code)</w:t>
            </w:r>
          </w:p>
        </w:tc>
        <w:tc>
          <w:tcPr>
            <w:tcW w:w="8460" w:type="dxa"/>
            <w:vAlign w:val="bottom"/>
            <w:tcBorders>
              <w:top w:val="single" w:sz="8" w:color="0000EE"/>
            </w:tcBorders>
            <w:gridSpan w:val="6"/>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700" w:type="dxa"/>
            <w:vAlign w:val="bottom"/>
            <w:gridSpan w:val="10"/>
            <w:shd w:val="clear" w:color="auto" w:fill="CCEEFF"/>
          </w:tcPr>
          <w:p>
            <w:pPr>
              <w:spacing w:after="0" w:line="15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Serve Robotics Inc. Compensation Recovery Policy (incorporated by reference to Exhibit 97.1 to the Annual Report on Form 10-K filed with the SEC on February 29,</w:t>
              </w:r>
            </w:hyperlink>
          </w:p>
        </w:tc>
      </w:tr>
      <w:tr>
        <w:trPr>
          <w:trHeight w:val="139"/>
        </w:trPr>
        <w:tc>
          <w:tcPr>
            <w:tcW w:w="1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97.1</w:t>
            </w:r>
          </w:p>
        </w:tc>
        <w:tc>
          <w:tcPr>
            <w:tcW w:w="5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0000FF"/>
            </w:tcBorders>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2024)</w:t>
              </w:r>
              <w:r>
                <w:rPr>
                  <w:rFonts w:ascii="Times New Roman" w:cs="Times New Roman" w:eastAsia="Times New Roman" w:hAnsi="Times New Roman"/>
                  <w:sz w:val="14"/>
                  <w:szCs w:val="14"/>
                  <w:color w:val="000000"/>
                </w:rPr>
                <w:t>.</w:t>
              </w:r>
            </w:hyperlink>
          </w:p>
        </w:tc>
        <w:tc>
          <w:tcPr>
            <w:tcW w:w="34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34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7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20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9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80" w:type="dxa"/>
            <w:vAlign w:val="bottom"/>
          </w:tcPr>
          <w:p>
            <w:pPr>
              <w:spacing w:after="0"/>
              <w:rPr>
                <w:sz w:val="16"/>
                <w:szCs w:val="16"/>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9"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ind w:right="5800" w:firstLine="5"/>
        <w:spacing w:after="0" w:line="466" w:lineRule="auto"/>
        <w:tabs>
          <w:tab w:leader="none" w:pos="24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document is being furnished in accordance with Item 601(b)(32)(ii) of Regulation S-K. + Indicates a management contract or any compensatory plan, contract or arrangement.</w:t>
      </w:r>
    </w:p>
    <w:p>
      <w:pPr>
        <w:spacing w:after="0" w:line="1" w:lineRule="exact"/>
        <w:rPr>
          <w:sz w:val="20"/>
          <w:szCs w:val="20"/>
          <w:color w:val="auto"/>
        </w:rPr>
      </w:pPr>
    </w:p>
    <w:p>
      <w:pPr>
        <w:ind w:left="260" w:hanging="255"/>
        <w:spacing w:after="0" w:line="287" w:lineRule="auto"/>
        <w:tabs>
          <w:tab w:leader="none" w:pos="22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or schedules to this exhibit have been omitted in accordance with Item 601(a)(5) of Regulation S-K. The registrant hereby agrees to furnish supplementally a copy of any omitted exhibit or schedule to the SEC upon its request.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742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SERVE ROBOTICS INC.</w:t>
            </w: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Dated: March 12, 2026</w:t>
            </w:r>
          </w:p>
        </w:tc>
        <w:tc>
          <w:tcPr>
            <w:tcW w:w="7420" w:type="dxa"/>
            <w:vAlign w:val="bottom"/>
            <w:gridSpan w:val="2"/>
          </w:tcPr>
          <w:p>
            <w:pPr>
              <w:ind w:left="2540"/>
              <w:spacing w:after="0"/>
              <w:rPr>
                <w:sz w:val="20"/>
                <w:szCs w:val="20"/>
                <w:color w:val="auto"/>
              </w:rPr>
            </w:pPr>
            <w:r>
              <w:rPr>
                <w:rFonts w:ascii="Times New Roman" w:cs="Times New Roman" w:eastAsia="Times New Roman" w:hAnsi="Times New Roman"/>
                <w:sz w:val="14"/>
                <w:szCs w:val="14"/>
                <w:color w:val="auto"/>
              </w:rPr>
              <w:t>By:    /s/ Ali Kashani</w:t>
            </w:r>
          </w:p>
        </w:tc>
      </w:tr>
      <w:tr>
        <w:trPr>
          <w:trHeight w:val="191"/>
        </w:trPr>
        <w:tc>
          <w:tcPr>
            <w:tcW w:w="38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3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Annual Report on Form 10-K has been signed by the following persons in the capacities indicated on the date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7"/>
                <w:szCs w:val="17"/>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6"/>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Ali Kashani</w:t>
            </w:r>
          </w:p>
        </w:tc>
        <w:tc>
          <w:tcPr>
            <w:tcW w:w="10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 Kashani</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Brian Read</w:t>
            </w:r>
          </w:p>
        </w:tc>
        <w:tc>
          <w:tcPr>
            <w:tcW w:w="10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Read</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Touraj Parang</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President and Chief Operating Officer and 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Touraj Parang</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Goldberg</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Goldberg</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Sarfraz Maredia</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Sarfraz Maredia</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Lily Sarafan</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Lily Sarafan</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Olivier Vincent</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12, 2026</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Olivier Vincent</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2"/>
        </w:trPr>
        <w:tc>
          <w:tcPr>
            <w:tcW w:w="3180" w:type="dxa"/>
            <w:vAlign w:val="bottom"/>
          </w:tcPr>
          <w:p>
            <w:pPr>
              <w:spacing w:after="0"/>
              <w:rPr>
                <w:sz w:val="24"/>
                <w:szCs w:val="24"/>
                <w:color w:val="auto"/>
              </w:rPr>
            </w:pPr>
          </w:p>
        </w:tc>
        <w:tc>
          <w:tcPr>
            <w:tcW w:w="5280" w:type="dxa"/>
            <w:vAlign w:val="bottom"/>
            <w:gridSpan w:val="2"/>
          </w:tcPr>
          <w:p>
            <w:pPr>
              <w:jc w:val="right"/>
              <w:ind w:right="266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Ali Kashani, certify that:</w:t>
      </w:r>
    </w:p>
    <w:p>
      <w:pPr>
        <w:spacing w:after="0" w:line="157"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Serve Robotics Inc.;</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12, 2026</w:t>
      </w:r>
      <w:r>
        <w:rPr>
          <w:sz w:val="20"/>
          <w:szCs w:val="20"/>
          <w:color w:val="auto"/>
        </w:rPr>
        <w:tab/>
      </w:r>
      <w:r>
        <w:rPr>
          <w:rFonts w:ascii="Times New Roman" w:cs="Times New Roman" w:eastAsia="Times New Roman" w:hAnsi="Times New Roman"/>
          <w:sz w:val="13"/>
          <w:szCs w:val="13"/>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Ali Kashani</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59"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Brian Read, certify that:</w:t>
      </w:r>
    </w:p>
    <w:p>
      <w:pPr>
        <w:spacing w:after="0" w:line="147"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Serve Robotics Inc.;</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12, 2026</w:t>
      </w:r>
      <w:r>
        <w:rPr>
          <w:sz w:val="20"/>
          <w:szCs w:val="20"/>
          <w:color w:val="auto"/>
        </w:rPr>
        <w:tab/>
      </w:r>
      <w:r>
        <w:rPr>
          <w:rFonts w:ascii="Times New Roman" w:cs="Times New Roman" w:eastAsia="Times New Roman" w:hAnsi="Times New Roman"/>
          <w:sz w:val="13"/>
          <w:szCs w:val="13"/>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Brian Read</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759"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Serve Robotics Inc. (the “Company”) for the year ended December 31, 2025,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spacing w:after="0" w:line="104"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4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12, 2026</w:t>
      </w:r>
      <w:r>
        <w:rPr>
          <w:sz w:val="20"/>
          <w:szCs w:val="20"/>
          <w:color w:val="auto"/>
        </w:rPr>
        <w:tab/>
      </w:r>
      <w:r>
        <w:rPr>
          <w:rFonts w:ascii="Times New Roman" w:cs="Times New Roman" w:eastAsia="Times New Roman" w:hAnsi="Times New Roman"/>
          <w:sz w:val="13"/>
          <w:szCs w:val="13"/>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Ali Kashani</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97"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Serve Robotics Inc. (the “Company”) for the year ended December 31, 2025,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spacing w:after="0" w:line="104"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4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12, 2026</w:t>
      </w:r>
      <w:r>
        <w:rPr>
          <w:sz w:val="20"/>
          <w:szCs w:val="20"/>
          <w:color w:val="auto"/>
        </w:rPr>
        <w:tab/>
      </w:r>
      <w:r>
        <w:rPr>
          <w:rFonts w:ascii="Times New Roman" w:cs="Times New Roman" w:eastAsia="Times New Roman" w:hAnsi="Times New Roman"/>
          <w:sz w:val="13"/>
          <w:szCs w:val="13"/>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Brian Read</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Financial and Accounting Officer)</w:t>
      </w:r>
    </w:p>
    <w:sectPr>
      <w:pgSz w:w="11900" w:h="16838" w:orient="portrait"/>
      <w:cols w:equalWidth="0" w:num="1">
        <w:col w:w="11280"/>
      </w:cols>
      <w:pgMar w:left="300" w:top="8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Roman"/>
      <w:start w:val="3"/>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3"/>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7"/>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4"/>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Roman"/>
      <w:start w:val="2"/>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30" Type="http://schemas.openxmlformats.org/officeDocument/2006/relationships/hyperlink" Target="https://www.sec.gov/Archives/edgar/data/1832483/000121390023063662/ea180762ex3-2_patriciaacq.htm" TargetMode="External"/><Relationship Id="rId131" Type="http://schemas.openxmlformats.org/officeDocument/2006/relationships/hyperlink" Target="https://www.sec.gov/Archives/edgar/data/1832483/000121390023063662/ea180762ex3-3_patriciaacq.htm" TargetMode="External"/><Relationship Id="rId132" Type="http://schemas.openxmlformats.org/officeDocument/2006/relationships/hyperlink" Target="https://www.sec.gov/Archives/edgar/data/1832483/000121390024073390/ea021263601ex10-5_serve.htm" TargetMode="External"/><Relationship Id="rId133" Type="http://schemas.openxmlformats.org/officeDocument/2006/relationships/hyperlink" Target="https://www.sec.gov/Archives/edgar/data/1832483/000121390025077711/ea025321401ex4-1_serverobo.htm" TargetMode="External"/><Relationship Id="rId134" Type="http://schemas.openxmlformats.org/officeDocument/2006/relationships/hyperlink" Target="https://www.sec.gov/Archives/edgar/data/1832483/000121390024018566/ea0200355ex4-8_serverobot.htm" TargetMode="External"/><Relationship Id="rId135" Type="http://schemas.openxmlformats.org/officeDocument/2006/relationships/hyperlink" Target="https://www.sec.gov/Archives/edgar/data/1832483/000121390023063662/ea180762ex10-1_patriciaacq.htm" TargetMode="External"/><Relationship Id="rId136" Type="http://schemas.openxmlformats.org/officeDocument/2006/relationships/hyperlink" Target="https://www.sec.gov/ix?doc=/Archives/edgar/data/0001832483/000121390024031358/ea0203444-8k_serverob.htm" TargetMode="External"/><Relationship Id="rId137" Type="http://schemas.openxmlformats.org/officeDocument/2006/relationships/hyperlink" Target="https://www.sec.gov/Archives/edgar/data/1832483/000121390023063662/ea180762ex10-21_patriciaacq.htm" TargetMode="External"/><Relationship Id="rId138" Type="http://schemas.openxmlformats.org/officeDocument/2006/relationships/hyperlink" Target="https://www.sec.gov/Archives/edgar/data/1832483/000121390023063662/ea180762ex10-24_patriciaacq.htm" TargetMode="External"/><Relationship Id="rId139" Type="http://schemas.openxmlformats.org/officeDocument/2006/relationships/hyperlink" Target="https://www.sec.gov/Archives/edgar/data/1832483/000121390024018566/ea0200355ex10-29_serverobot.htm" TargetMode="External"/><Relationship Id="rId140" Type="http://schemas.openxmlformats.org/officeDocument/2006/relationships/hyperlink" Target="https://www.sec.gov/Archives/edgar/data/1832483/000121390024050796/ea0207382-def14a_serverobo.htm#a_035" TargetMode="External"/><Relationship Id="rId141" Type="http://schemas.openxmlformats.org/officeDocument/2006/relationships/hyperlink" Target="https://www.sec.gov/ix?doc=/Archives/edgar/data/0001832483/000114036125015733/edge20045840x1_def14a.htm#tAPPB" TargetMode="External"/><Relationship Id="rId142" Type="http://schemas.openxmlformats.org/officeDocument/2006/relationships/hyperlink" Target="https://www.sec.gov/Archives/edgar/data/1832483/000121390025080348/ea025382501ex99-1_serverob.htm" TargetMode="External"/><Relationship Id="rId143" Type="http://schemas.openxmlformats.org/officeDocument/2006/relationships/hyperlink" Target="https://www.sec.gov/Archives/edgar/data/1832483/000121390025080348/ea025382501ex99-2_serverob.htm" TargetMode="External"/><Relationship Id="rId144" Type="http://schemas.openxmlformats.org/officeDocument/2006/relationships/hyperlink" Target="https://www.sec.gov/Archives/edgar/data/1832483/000183248325000010/serve-amendedandrestated.htm" TargetMode="External"/><Relationship Id="rId145" Type="http://schemas.openxmlformats.org/officeDocument/2006/relationships/hyperlink" Target="https://www.sec.gov/Archives/edgar/data/1832483/000121390024073390/ea021263601ex10-2_serve.htm" TargetMode="External"/><Relationship Id="rId146" Type="http://schemas.openxmlformats.org/officeDocument/2006/relationships/hyperlink" Target="https://www.sec.gov/Archives/edgar/data/1832483/000121390024073390/ea021263601ex10-1_serve.htm" TargetMode="External"/><Relationship Id="rId147" Type="http://schemas.openxmlformats.org/officeDocument/2006/relationships/hyperlink" Target="https://www.sec.gov/Archives/edgar/data/1832483/000121390025001415/ea022695101ex10-1_serve.htm" TargetMode="External"/><Relationship Id="rId148" Type="http://schemas.openxmlformats.org/officeDocument/2006/relationships/hyperlink" Target="https://www.sec.gov/Archives/edgar/data/1832483/000121390025001415/ea022695101ex10-2_serve.htm" TargetMode="External"/><Relationship Id="rId149" Type="http://schemas.openxmlformats.org/officeDocument/2006/relationships/hyperlink" Target="https://www.sec.gov/Archives/edgar/data/1832483/000121390025097926/ea026090201ex10-1_serve.htm" TargetMode="External"/><Relationship Id="rId150" Type="http://schemas.openxmlformats.org/officeDocument/2006/relationships/hyperlink" Target="https://www.sec.gov/Archives/edgar/data/1832483/000121390025097926/ea026090201ex10-2_serve.htm" TargetMode="External"/><Relationship Id="rId151" Type="http://schemas.openxmlformats.org/officeDocument/2006/relationships/hyperlink" Target="https://www.sec.gov/Archives/edgar/data/1832483/000121390025021244/ea023266101ex16-1_serve.htm" TargetMode="External"/><Relationship Id="rId154" Type="http://schemas.openxmlformats.org/officeDocument/2006/relationships/hyperlink" Target="https://www.sec.gov/Archives/edgar/data/1832483/000121390024018566/ea0200355ex97-1_serverob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2026-03-12T05:24:59Z</dcterms:created>
  <dcterms:modified xsi:type="dcterms:W3CDTF">2026-03-12T05:24:59Z</dcterms:modified>
</cp:coreProperties>
</file>