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Serve Robotics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M.H. Davidson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50,951.00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50,951.00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50,951.00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Davidson Kempner Arbitrage, Equities &amp; Relative Value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2,749,049.00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2,749,049.00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2,749,049.00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Davidson Kempner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Anthony A. Yoseloff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60"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Serve Robotics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730 Broadway, Redwood City, CA 94063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40"/>
        <w:spacing w:after="0" w:line="245" w:lineRule="auto"/>
        <w:rPr>
          <w:sz w:val="20"/>
          <w:szCs w:val="20"/>
          <w:color w:val="auto"/>
        </w:rPr>
      </w:pPr>
      <w:r>
        <w:rPr>
          <w:rFonts w:ascii="Times New Roman" w:cs="Times New Roman" w:eastAsia="Times New Roman" w:hAnsi="Times New Roman"/>
          <w:sz w:val="21"/>
          <w:szCs w:val="21"/>
          <w:color w:val="auto"/>
        </w:rPr>
        <w:t>This Statement is filed by each of the entities and persons listed below, all of whom together are referred to herein as the "Reporting Persons": (i) M.H. Davidson &amp; Co., a New York limited partnership ("CO"). M.H. Davidson &amp; Co. GP, L.L.C., a Delaware limited liability company ("CO GP"), is the general partner of CO and Davidson Kempner Liquid GP Topco LLC, a Delaware limited liability company, is the managing member of CO GP. DKCM (as defined below) is responsible for the voting and investment decisions of CO; (ii) Davidson Kempner Arbitrage, Equities and Relative Value LP, a Cayman Islands exempted limited partnership ("DKAERV"). Davidson Kempner Multi-Strategy</w:t>
      </w:r>
    </w:p>
    <w:p>
      <w:pPr>
        <w:spacing w:after="0" w:line="3" w:lineRule="exact"/>
        <w:rPr>
          <w:sz w:val="20"/>
          <w:szCs w:val="20"/>
          <w:color w:val="auto"/>
        </w:rPr>
      </w:pPr>
    </w:p>
    <w:p>
      <w:pPr>
        <w:ind w:left="920" w:hanging="912"/>
        <w:spacing w:after="0" w:line="217"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GP II LLC, a Delaware limited liability company ("DKAERV GP"), is the general partner of DKAERV and Davidson Kempner Liquid GP Topco LLC, a Delaware limited liability company, is the managing member of DKAERV GP. DKCM is responsible for the voting and investment decisions of DKAERV; (iii) Davidson Kempner Capital Management LP, a Delaware limited partnership and a registered investment adviser with the U.S. Securities and Exchange Commission, acts as investment manager to each of CO and DKAERV ("DKCM"). DKCM GP LLC, a Delaware limited liability company, is the general partner of DKCM. The managing members of DKCM are Anthony A. Yoseloff, Conor Bastable, Morgan P. Blackwell, Patrick W. Dennis, Gabriel T. Schwartz, Zachary Z. Altschuler, Joshua D. Morris, Suzanne K. Gibbons, Gregory S. Feldman, Melanie Levine and James Li; and (iv) Anthony A. Yoseloff, through DKCM, is responsible for the voting and investment decisions relating to the common stock, par value $0.0001 per share ("Common Stock"), of Serve Robotics Inc. (the "Company") held by CO and DKAERV. Address or principal business office or, if none, residence:</w:t>
      </w:r>
    </w:p>
    <w:p>
      <w:pPr>
        <w:spacing w:after="0" w:line="211" w:lineRule="exact"/>
        <w:rPr>
          <w:rFonts w:ascii="Times New Roman" w:cs="Times New Roman" w:eastAsia="Times New Roman" w:hAnsi="Times New Roman"/>
          <w:sz w:val="43"/>
          <w:szCs w:val="43"/>
          <w:color w:val="auto"/>
          <w:vertAlign w:val="subscript"/>
        </w:rPr>
      </w:pPr>
    </w:p>
    <w:p>
      <w:pPr>
        <w:ind w:left="920" w:right="6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Davidson Kempner Capital Management LP, 9 West 57th Street, 29th Floor, New York, NY 10019.</w:t>
      </w:r>
    </w:p>
    <w:p>
      <w:pPr>
        <w:sectPr>
          <w:pgSz w:w="11900" w:h="16860" w:orient="portrait"/>
          <w:cols w:equalWidth="0" w:num="1">
            <w:col w:w="1112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w:t>
      </w:r>
    </w:p>
    <w:p>
      <w:pPr>
        <w:sectPr>
          <w:pgSz w:w="11900" w:h="16838" w:orient="portrait"/>
          <w:cols w:equalWidth="0" w:num="1">
            <w:col w:w="11120"/>
          </w:cols>
          <w:pgMar w:left="360" w:top="112"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100" w:firstLine="6"/>
        <w:spacing w:after="0" w:line="25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 a New York limited partnership (ii) DKAERV - a Cayman Islands exempted limited partnership (iii) DKCM - a Delaware limited partnership (iv) Anthony A. Yoseloff - United States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spacing w:after="0" w:line="33" w:lineRule="exact"/>
        <w:rPr>
          <w:sz w:val="20"/>
          <w:szCs w:val="20"/>
          <w:color w:val="auto"/>
        </w:rPr>
      </w:pPr>
    </w:p>
    <w:p>
      <w:pPr>
        <w:ind w:left="920" w:right="20"/>
        <w:spacing w:after="0" w:line="241"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The percentages set forth in this Schedule 13G are calculated based upon an</w:t>
      </w:r>
    </w:p>
    <w:p>
      <w:pPr>
        <w:spacing w:after="0" w:line="2" w:lineRule="exact"/>
        <w:rPr>
          <w:sz w:val="20"/>
          <w:szCs w:val="20"/>
          <w:color w:val="auto"/>
        </w:rPr>
      </w:pPr>
    </w:p>
    <w:p>
      <w:pPr>
        <w:ind w:left="920" w:right="28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of 77,373,296 shares of Common Stock outstanding as of May 5, 2026, as reported in the Company's Quarterly Report on Form 10-Q for the quarterly period ended March 31, 2026, filed with the Securities and Exchange Commission on May 7, 2026. As of the date of the event which requires the filing of this Schedule 13G, the Reporting Persons may have been deemed to beneficially own more than 5% of the shares of Common Stock outstanding.</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120"/>
          </w:cols>
          <w:pgMar w:left="360" w:top="112" w:right="41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M.H. Davidson &amp; Co.</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Anthony A. Yoseloff, Executive Managing</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Member of Davidson Kempner Liquid GP Topco</w:t>
      </w:r>
    </w:p>
    <w:p>
      <w:pPr>
        <w:ind w:left="6740"/>
        <w:spacing w:after="0" w:line="231" w:lineRule="auto"/>
        <w:rPr>
          <w:sz w:val="20"/>
          <w:szCs w:val="20"/>
          <w:color w:val="auto"/>
        </w:rPr>
      </w:pPr>
      <w:r>
        <w:rPr>
          <w:rFonts w:ascii="Times New Roman" w:cs="Times New Roman" w:eastAsia="Times New Roman" w:hAnsi="Times New Roman"/>
          <w:sz w:val="22"/>
          <w:szCs w:val="22"/>
          <w:color w:val="auto"/>
        </w:rPr>
        <w:t>LLC, Managing Member of CO GP,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CO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Davidson Kempner Arbitrage, Equities &amp; Relative Value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Anthony A. Yoseloff, Executive Managing</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Member of Davidson Kempner Liquid GP Topco</w:t>
      </w:r>
    </w:p>
    <w:p>
      <w:pPr>
        <w:ind w:left="6740"/>
        <w:spacing w:after="0" w:line="231" w:lineRule="auto"/>
        <w:rPr>
          <w:sz w:val="20"/>
          <w:szCs w:val="20"/>
          <w:color w:val="auto"/>
        </w:rPr>
      </w:pPr>
      <w:r>
        <w:rPr>
          <w:rFonts w:ascii="Times New Roman" w:cs="Times New Roman" w:eastAsia="Times New Roman" w:hAnsi="Times New Roman"/>
          <w:sz w:val="22"/>
          <w:szCs w:val="22"/>
          <w:color w:val="auto"/>
        </w:rPr>
        <w:t>LLC, Managing Member of DKAERV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of DKAERV</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Davidson Kempner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Anthony</w:t>
      </w:r>
      <w:r>
        <w:rPr>
          <w:rFonts w:ascii="Times New Roman" w:cs="Times New Roman" w:eastAsia="Times New Roman" w:hAnsi="Times New Roman"/>
          <w:sz w:val="37"/>
          <w:szCs w:val="37"/>
          <w:color w:val="auto"/>
          <w:vertAlign w:val="subscript"/>
        </w:rPr>
        <w:t>Member</w:t>
      </w:r>
      <w:r>
        <w:rPr>
          <w:rFonts w:ascii="Times New Roman" w:cs="Times New Roman" w:eastAsia="Times New Roman" w:hAnsi="Times New Roman"/>
          <w:sz w:val="19"/>
          <w:szCs w:val="19"/>
          <w:color w:val="auto"/>
        </w:rPr>
        <w:t xml:space="preserve"> A. Yoseloff, Executive Managing</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Anthony A. Yoseloff</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A. Yoseloff</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Anthony A. Yoseloff, Individually</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8, 2026</w:t>
      </w:r>
    </w:p>
    <w:p>
      <w:pPr>
        <w:spacing w:after="0" w:line="2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u w:val="single" w:color="auto"/>
          <w:color w:val="auto"/>
        </w:rPr>
        <w:t>Anthony A. Yoseloff</w:t>
      </w:r>
    </w:p>
    <w:p>
      <w:pPr>
        <w:spacing w:after="0" w:line="19" w:lineRule="exact"/>
        <w:rPr>
          <w:sz w:val="20"/>
          <w:szCs w:val="20"/>
          <w:color w:val="auto"/>
        </w:rPr>
      </w:pPr>
    </w:p>
    <w:p>
      <w:pPr>
        <w:ind w:left="4840" w:right="100"/>
        <w:spacing w:after="0" w:line="241" w:lineRule="auto"/>
        <w:rPr>
          <w:sz w:val="20"/>
          <w:szCs w:val="20"/>
          <w:color w:val="auto"/>
        </w:rPr>
      </w:pPr>
      <w:r>
        <w:rPr>
          <w:rFonts w:ascii="Times New Roman" w:cs="Times New Roman" w:eastAsia="Times New Roman" w:hAnsi="Times New Roman"/>
          <w:sz w:val="21"/>
          <w:szCs w:val="21"/>
          <w:color w:val="auto"/>
        </w:rPr>
        <w:t>ANTHONY A. YOSELOFF, (i) individually, (ii) as Executive Managing Member of: (a) Davidson Kempner Capital Management LP, and (b) Davidson Kempner Liquid GP Topco LLC, as Managing Member of (1) M.H. Davidson &amp; Co. GP, L.L.C., as General Partner of M.H. Davidson</w:t>
      </w:r>
    </w:p>
    <w:p>
      <w:pPr>
        <w:spacing w:after="0" w:line="2" w:lineRule="exact"/>
        <w:rPr>
          <w:sz w:val="20"/>
          <w:szCs w:val="20"/>
          <w:color w:val="auto"/>
        </w:rPr>
      </w:pPr>
    </w:p>
    <w:p>
      <w:pPr>
        <w:ind w:left="4840" w:right="120" w:hanging="10"/>
        <w:spacing w:after="0" w:line="235" w:lineRule="auto"/>
        <w:tabs>
          <w:tab w:leader="none" w:pos="506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and (2) Davidson Kempner Multi-Strategy GP II LLC, as General Partner of Davidson Kempner Arbitrage, Equities and Relative Value LP.</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2026-06-08T16:54:38Z</dcterms:created>
  <dcterms:modified xsi:type="dcterms:W3CDTF">2026-06-08T16:54:38Z</dcterms:modified>
</cp:coreProperties>
</file>