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5986.xml.htm"/>
      <w:bookmarkStart w:id="1" w:name="kswkform4_17871759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Kashani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SERVE ROBOTICS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1360 BAYPORT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Serve Robotics Inc. /DE/</w:t>
              </w:r>
            </w:hyperlink>
            <w:r>
              <w:rPr/>
              <w:t xml:space="preserve"> [ </w:t>
            </w:r>
            <w:r>
              <w:rPr>
                <w:rFonts w:ascii="Times;serif" w:hAnsi="Times;serif"/>
                <w:color w:val="0000FF"/>
                <w:sz w:val="24"/>
                <w:shd w:fill="FFFFFF" w:val="clear"/>
              </w:rPr>
              <w:t>SERV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66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45,158</w:t>
            </w:r>
            <w:r>
              <w:rPr>
                <w:rFonts w:ascii="Times;serif" w:hAnsi="Times;serif"/>
                <w:color w:val="008000"/>
                <w:position w:val="7"/>
                <w:sz w:val="16"/>
                <w:sz w:val="20"/>
                <w:shd w:fill="FFFFFF" w:val="clear"/>
              </w:rPr>
              <w:t>(1)</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4.56</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3,232,933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16,070</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sold to satisfy tax withholding obligations relating to the acquisition of shares of the Issuer's common stock in connection with the settlement of the vested portion of RSUs pursuant to provisions of a restricted stock unit agreement by and between the Issuer and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Jongmin Char, as attorney-in-fact for Ali Kashani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3489" TargetMode="External"/><Relationship Id="rId5" Type="http://schemas.openxmlformats.org/officeDocument/2006/relationships/hyperlink" Target="http://www.sec.gov/cgi-bin/browse-edgar?action=getcompany&amp;CIK=00018324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632</Words>
  <Characters>3426</Characters>
  <CharactersWithSpaces>3985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