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191265-424b3_serverobo.htm"/>
      <w:bookmarkStart w:id="1" w:name="ksea191265424b3_serverobo"/>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333-274547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bookmarkStart w:id="2" w:name="r_001"/>
      <w:bookmarkEnd w:id="2"/>
      <w:r>
        <w:rPr>
          <w:rFonts w:ascii="Times New Roman;Times;Serif" w:hAnsi="Times New Roman;Times;Serif"/>
          <w:b/>
          <w:i w:val="false"/>
          <w:caps/>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097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9725" cy="695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Serve Robotics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18,960,989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offering and resale by the selling stockholders identified herein of up to 18,960,989 shares of common stock, par value $0.0001 per share, of Serve Robotics Inc. (the “Company”), which includes: (i) 4,121,632 shares of our common stock issued in a private placement offering in multiple closings on July 31, 2023, August 30, 2023 and October 26, 2023 (the “Private Placement”) (including 937,961 shares of our common stock issued upon conversion of the senior subordinated secured convertible notes offered and sold by Serve Operating Co., a privately held Delaware corporation (formerly known as Serve Robotics Inc.) (“Serve”), to accredited investors (the “Bridge Notes”)); (ii) 468,971 shares of our common stock issuable upon exercise of the warrants issued to investors in connection with the issuance of the Bridge Notes (the “Bridge Warrants”); (iii) an aggregate of 478,571 shares of our common stock issuable upon exercise of the warrants issued to (a) certain registered broker-dealers in connection with the sale of the Bridge Notes (the “Bridge Broker Warrants”) and (b) each of the U.S. registered broker-dealers in connection with the Private Placement (the “Placement Agent Warrants”); (iv) 142,730 shares of our common stock issuable upon exercise of the warrants of Serve that were assumed by the Company in connection with the Merger; and (v) 12,249,085 shares of our common stock privately issued to the selling stockholders on July 31, 2023 in exchange for the capital stock of Serve in connection with the closing of the merger between us and Serve (the “Merger”), which excludes the restricted stock held by the Company’s current or former employees who have waived their registration rights (the “Merger Shares”); and (vi) 1,500,000 shares of our common stock held by the stockholders of Patricia Acquisition Corp., our predecessor, prior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shares of common stock by the selling stockholders. The selling stockholders may sell the shares of common stock offered by this prospectus from time to time through the means described in this prospectus under the caption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a list of the selling stockholders, see the section entitled “</w:t>
      </w:r>
      <w:r>
        <w:rPr>
          <w:rFonts w:ascii="Times New Roman;Times;Serif" w:hAnsi="Times New Roman;Times;Serif"/>
          <w:b w:val="false"/>
          <w:i/>
          <w:caps w:val="false"/>
          <w:smallCaps w:val="false"/>
          <w:sz w:val="20"/>
        </w:rPr>
        <w:t>Selling Stockholders</w:t>
      </w:r>
      <w:r>
        <w:rPr>
          <w:rFonts w:ascii="Times New Roman;Times;Serif" w:hAnsi="Times New Roman;Times;Serif"/>
          <w:b w:val="false"/>
          <w:i w:val="false"/>
          <w:caps w:val="false"/>
          <w:smallCaps w:val="false"/>
          <w:sz w:val="20"/>
        </w:rPr>
        <w:t>” on page 96 of this prospectus. We have borne and will continue to bear the costs relating to the registration of these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 currently, and there has never been, any established public trading market for any of our securities. The common stock is not currently eligible for trading on any national securities exchange, including The Nasdaq Stock Market, LLC, or any over-the-counter markets, including the OTC Markets-OTCQB tier (the “OTCQB”). In connection with this offering, we intend to have a registered broker-dealer to apply to have the common stock quoted on the OTCQB or another OTC system. We cannot assure you that the common stock will become eligible for trading on any exchange or market. Until such time as the common stock is quoted on the OTCQB or another public trading market otherwise develops, the selling stockholders identified herein may only sell their shares of common stock pursuant to this prospectus at a fixed price of $4.00 per share, the price per share in the offering discussed above, for a total offering amount of $75,843,956. At and after such time, the selling stockholders may sell all or a portion of their shares through public or private transactions at prevailing market prices or at privately negotiated prices. For more information about how the selling stockholders identified herein may sell shares of our common stock, see the section titled “</w:t>
      </w:r>
      <w:r>
        <w:rPr>
          <w:rFonts w:ascii="Times New Roman;Times;Serif" w:hAnsi="Times New Roman;Times;Serif"/>
          <w:b w:val="false"/>
          <w:i/>
          <w:caps w:val="false"/>
          <w:smallCaps w:val="false"/>
          <w:sz w:val="20"/>
        </w:rPr>
        <w:t>Shares Eligible for Future Resale</w:t>
      </w:r>
      <w:r>
        <w:rPr>
          <w:rFonts w:ascii="Times New Roman;Times;Serif" w:hAnsi="Times New Roman;Times;Serif"/>
          <w:b w:val="false"/>
          <w:i w:val="false"/>
          <w:caps w:val="false"/>
          <w:smallCaps w:val="false"/>
          <w:sz w:val="20"/>
        </w:rPr>
        <w: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and a “smaller reporting company” as defined under the federal securities laws and, as such, are eligible for reduced public company reporting requirements. See “</w:t>
      </w:r>
      <w:r>
        <w:rPr>
          <w:rFonts w:ascii="Times New Roman;Times;Serif" w:hAnsi="Times New Roman;Times;Serif"/>
          <w:b/>
          <w:i/>
          <w:caps w:val="false"/>
          <w:smallCaps w:val="false"/>
          <w:sz w:val="20"/>
        </w:rPr>
        <w:t>Prospectus Summary — Implications of Being an Emerging Growth Company and a Smaller Reporting Company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 investment decision, please read “Risk Factors” on page 9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December 14,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pPr>
      <w:r>
        <w:rPr>
          <w:caps w:val="false"/>
          <w:smallCaps w:val="false"/>
        </w:rPr>
        <w:t> </w:t>
      </w:r>
      <w:r>
        <w:rPr/>
        <w:t xml:space="preserve"> </w:t>
      </w:r>
    </w:p>
    <w:tbl>
      <w:tblPr>
        <w:tblW w:w="9970" w:type="dxa"/>
        <w:jc w:val="left"/>
        <w:tblInd w:w="0" w:type="dxa"/>
        <w:tblLayout w:type="fixed"/>
        <w:tblCellMar>
          <w:top w:w="0" w:type="dxa"/>
          <w:left w:w="0" w:type="dxa"/>
          <w:bottom w:w="0" w:type="dxa"/>
          <w:right w:w="0" w:type="dxa"/>
        </w:tblCellMar>
      </w:tblPr>
      <w:tblGrid>
        <w:gridCol w:w="9515"/>
        <w:gridCol w:w="455"/>
      </w:tblGrid>
      <w:tr>
        <w:trPr/>
        <w:tc>
          <w:tcPr>
            <w:tcW w:w="951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51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01">
              <w:r>
                <w:rPr>
                  <w:rStyle w:val="InternetLink"/>
                  <w:rFonts w:ascii="Times New Roman;Times;Serif" w:hAnsi="Times New Roman;Times;Serif"/>
                  <w:sz w:val="20"/>
                </w:rPr>
                <w:t>PRELIMINARY PROSPECTUS</w:t>
              </w:r>
            </w:hyperlink>
          </w:p>
        </w:tc>
        <w:tc>
          <w:tcPr>
            <w:tcW w:w="455" w:type="dxa"/>
            <w:tcBorders/>
            <w:shd w:fill="CCEEFF" w:val="clear"/>
            <w:vAlign w:val="center"/>
          </w:tcPr>
          <w:p>
            <w:pPr>
              <w:pStyle w:val="TableContents"/>
              <w:bidi w:val="0"/>
              <w:spacing w:before="0" w:after="283"/>
              <w:jc w:val="left"/>
              <w:rPr>
                <w:sz w:val="4"/>
                <w:szCs w:val="4"/>
              </w:rPr>
            </w:pPr>
            <w:r>
              <w:rPr>
                <w:sz w:val="4"/>
                <w:szCs w:val="4"/>
              </w:rPr>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02">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jc w:val="center"/>
              <w:rPr/>
            </w:pPr>
            <w:r>
              <w:rPr/>
              <w:t>ii</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03">
              <w:r>
                <w:rPr>
                  <w:rStyle w:val="InternetLink"/>
                  <w:rFonts w:ascii="Times New Roman;Times;Serif" w:hAnsi="Times New Roman;Times;Serif"/>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04">
              <w:r>
                <w:rPr>
                  <w:rStyle w:val="InternetLink"/>
                  <w:rFonts w:ascii="Times New Roman;Times;Serif" w:hAnsi="Times New Roman;Times;Serif"/>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05">
              <w:r>
                <w:rPr>
                  <w:rStyle w:val="InternetLink"/>
                  <w:rFonts w:ascii="Times New Roman;Times;Serif" w:hAnsi="Times New Roman;Times;Serif"/>
                  <w:sz w:val="20"/>
                </w:rPr>
                <w:t>THE OFFERING</w:t>
              </w:r>
            </w:hyperlink>
          </w:p>
        </w:tc>
        <w:tc>
          <w:tcPr>
            <w:tcW w:w="455" w:type="dxa"/>
            <w:tcBorders/>
            <w:shd w:fill="CCEEFF" w:val="clear"/>
            <w:vAlign w:val="center"/>
          </w:tcPr>
          <w:p>
            <w:pPr>
              <w:pStyle w:val="TableContents"/>
              <w:bidi w:val="0"/>
              <w:spacing w:before="0" w:after="283"/>
              <w:jc w:val="center"/>
              <w:rPr/>
            </w:pPr>
            <w:r>
              <w:rPr/>
              <w:t>6</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06">
              <w:r>
                <w:rPr>
                  <w:rStyle w:val="InternetLink"/>
                  <w:rFonts w:ascii="Times New Roman;Times;Serif" w:hAnsi="Times New Roman;Times;Serif"/>
                  <w:sz w:val="20"/>
                </w:rPr>
                <w:t>SUMMARY FINANCIAL DATA</w:t>
              </w:r>
            </w:hyperlink>
          </w:p>
        </w:tc>
        <w:tc>
          <w:tcPr>
            <w:tcW w:w="455" w:type="dxa"/>
            <w:tcBorders/>
            <w:shd w:fill="CCEEFF" w:val="clear"/>
            <w:vAlign w:val="center"/>
          </w:tcPr>
          <w:p>
            <w:pPr>
              <w:pStyle w:val="TableContents"/>
              <w:bidi w:val="0"/>
              <w:spacing w:before="0" w:after="283"/>
              <w:jc w:val="center"/>
              <w:rPr/>
            </w:pPr>
            <w:r>
              <w:rPr/>
              <w:t>7</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07">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jc w:val="center"/>
              <w:rPr/>
            </w:pPr>
            <w:r>
              <w:rPr/>
              <w:t>9</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08">
              <w:r>
                <w:rPr>
                  <w:rStyle w:val="InternetLink"/>
                  <w:rFonts w:ascii="Times New Roman;Times;Serif" w:hAnsi="Times New Roman;Times;Serif"/>
                  <w:sz w:val="20"/>
                </w:rPr>
                <w:t>DESCRIPTION OF THE MERGER, THE PRIVATE PLACEMENT, AND RELATED TRANSACTIONS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09">
              <w:r>
                <w:rPr>
                  <w:rStyle w:val="InternetLink"/>
                  <w:rFonts w:ascii="Times New Roman;Times;Serif" w:hAnsi="Times New Roman;Times;Serif"/>
                  <w:sz w:val="20"/>
                </w:rPr>
                <w:t>DESCRIPTION OF OUR BUSINESS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0">
              <w:r>
                <w:rPr>
                  <w:rStyle w:val="InternetLink"/>
                  <w:rFonts w:ascii="Times New Roman;Times;Serif" w:hAnsi="Times New Roman;Times;Serif"/>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pPr>
            <w:r>
              <w:rPr/>
              <w:t>5</w:t>
            </w:r>
            <w:r>
              <w:rPr>
                <w:rFonts w:ascii="Times New Roman;Times;Serif" w:hAnsi="Times New Roman;Times;Serif"/>
                <w:sz w:val="20"/>
              </w:rPr>
              <w:t>4</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1">
              <w:r>
                <w:rPr>
                  <w:rStyle w:val="InternetLink"/>
                  <w:rFonts w:ascii="Times New Roman;Times;Serif" w:hAnsi="Times New Roman;Times;Serif"/>
                  <w:sz w:val="20"/>
                </w:rPr>
                <w:t>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2">
              <w:r>
                <w:rPr>
                  <w:rStyle w:val="InternetLink"/>
                  <w:rFonts w:ascii="Times New Roman;Times;Serif" w:hAnsi="Times New Roman;Times;Serif"/>
                  <w:sz w:val="20"/>
                </w:rPr>
                <w:t>EXECUTIVE COMPENSATION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3">
              <w:r>
                <w:rPr>
                  <w:rStyle w:val="InternetLink"/>
                  <w:rFonts w:ascii="Times New Roman;Times;Serif" w:hAnsi="Times New Roman;Times;Serif"/>
                  <w:sz w:val="20"/>
                </w:rPr>
                <w:t>CERTAIN RELATIONSHIPS AND RELATED PARTY TRANSACTIONS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4">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jc w:val="center"/>
              <w:rPr/>
            </w:pPr>
            <w:r>
              <w:rPr/>
              <w:t>90</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5">
              <w:r>
                <w:rPr>
                  <w:rStyle w:val="InternetLink"/>
                  <w:rFonts w:ascii="Times New Roman;Times;Serif" w:hAnsi="Times New Roman;Times;Serif"/>
                  <w:sz w:val="20"/>
                </w:rPr>
                <w:t>DIVIDEND POLICY</w:t>
              </w:r>
            </w:hyperlink>
          </w:p>
        </w:tc>
        <w:tc>
          <w:tcPr>
            <w:tcW w:w="455" w:type="dxa"/>
            <w:tcBorders/>
            <w:shd w:fill="CCEEFF" w:val="clear"/>
            <w:vAlign w:val="center"/>
          </w:tcPr>
          <w:p>
            <w:pPr>
              <w:pStyle w:val="TableContents"/>
              <w:bidi w:val="0"/>
              <w:spacing w:before="0" w:after="283"/>
              <w:jc w:val="center"/>
              <w:rPr/>
            </w:pPr>
            <w:r>
              <w:rPr/>
              <w:t>91</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6">
              <w:r>
                <w:rPr>
                  <w:rStyle w:val="InternetLink"/>
                  <w:rFonts w:ascii="Times New Roman;Times;Serif" w:hAnsi="Times New Roman;Times;Serif"/>
                  <w:sz w:val="20"/>
                </w:rPr>
                <w:t>DETERMINATION OF SALE PRICE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7">
              <w:r>
                <w:rPr>
                  <w:rStyle w:val="InternetLink"/>
                  <w:rFonts w:ascii="Times New Roman;Times;Serif" w:hAnsi="Times New Roman;Times;Serif"/>
                  <w:sz w:val="20"/>
                </w:rPr>
                <w:t>MARKET INFORMATION FOR OUR COMMON STOCK</w:t>
              </w:r>
            </w:hyperlink>
          </w:p>
        </w:tc>
        <w:tc>
          <w:tcPr>
            <w:tcW w:w="455" w:type="dxa"/>
            <w:tcBorders/>
            <w:shd w:fill="CCEEFF" w:val="clear"/>
            <w:vAlign w:val="center"/>
          </w:tcPr>
          <w:p>
            <w:pPr>
              <w:pStyle w:val="TableContents"/>
              <w:bidi w:val="0"/>
              <w:spacing w:before="0" w:after="283"/>
              <w:jc w:val="center"/>
              <w:rPr/>
            </w:pPr>
            <w:r>
              <w:rPr/>
              <w:t>93</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8">
              <w:r>
                <w:rPr>
                  <w:rStyle w:val="InternetLink"/>
                  <w:rFonts w:ascii="Times New Roman;Times;Serif" w:hAnsi="Times New Roman;Times;Serif"/>
                  <w:sz w:val="20"/>
                </w:rPr>
                <w:t>SECURITY OWNERSHIP OF CERTAIN BENEFICIAL OWNERS AND MANAGEMENT</w:t>
              </w:r>
            </w:hyperlink>
          </w:p>
        </w:tc>
        <w:tc>
          <w:tcPr>
            <w:tcW w:w="455" w:type="dxa"/>
            <w:tcBorders/>
            <w:shd w:fill="CCEEFF" w:val="clear"/>
            <w:vAlign w:val="center"/>
          </w:tcPr>
          <w:p>
            <w:pPr>
              <w:pStyle w:val="TableContents"/>
              <w:bidi w:val="0"/>
              <w:spacing w:before="0" w:after="283"/>
              <w:jc w:val="center"/>
              <w:rPr/>
            </w:pPr>
            <w:r>
              <w:rPr/>
              <w:t>94</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19">
              <w:r>
                <w:rPr>
                  <w:rStyle w:val="InternetLink"/>
                  <w:rFonts w:ascii="Times New Roman;Times;Serif" w:hAnsi="Times New Roman;Times;Serif"/>
                  <w:sz w:val="20"/>
                </w:rPr>
                <w:t>SELLING STOCKHOLDERS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20">
              <w:r>
                <w:rPr>
                  <w:rStyle w:val="InternetLink"/>
                  <w:rFonts w:ascii="Times New Roman;Times;Serif" w:hAnsi="Times New Roman;Times;Serif"/>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21">
              <w:r>
                <w:rPr>
                  <w:rStyle w:val="InternetLink"/>
                  <w:rFonts w:ascii="Times New Roman;Times;Serif" w:hAnsi="Times New Roman;Times;Serif"/>
                  <w:sz w:val="20"/>
                </w:rPr>
                <w:t>DESCRIPTION OF CAPITAL STOCK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22">
              <w:r>
                <w:rPr>
                  <w:rStyle w:val="InternetLink"/>
                  <w:rFonts w:ascii="Times New Roman;Times;Serif" w:hAnsi="Times New Roman;Times;Serif"/>
                  <w:sz w:val="20"/>
                </w:rPr>
                <w:t>SHARES ELIGIBLE FOR FUTURE SALE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23">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24">
              <w:r>
                <w:rPr>
                  <w:rStyle w:val="InternetLink"/>
                  <w:rFonts w:ascii="Times New Roman;Times;Serif" w:hAnsi="Times New Roman;Times;Serif"/>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25">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r>
      <w:tr>
        <w:trPr/>
        <w:tc>
          <w:tcPr>
            <w:tcW w:w="951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515" w:type="dxa"/>
            <w:tcBorders/>
            <w:shd w:fill="CCEEFF" w:val="clear"/>
            <w:vAlign w:val="center"/>
          </w:tcPr>
          <w:p>
            <w:pPr>
              <w:pStyle w:val="TableContents"/>
              <w:bidi w:val="0"/>
              <w:spacing w:before="0" w:after="283"/>
              <w:jc w:val="left"/>
              <w:rPr/>
            </w:pPr>
            <w:hyperlink w:anchor="r_026">
              <w:r>
                <w:rPr>
                  <w:rStyle w:val="InternetLink"/>
                  <w:rFonts w:ascii="Times New Roman;Times;Serif" w:hAnsi="Times New Roman;Times;Serif"/>
                  <w:sz w:val="20"/>
                </w:rPr>
                <w:t>INDEX TO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r_002"/>
      <w:bookmarkEnd w:id="3"/>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selling stockholders have not, authorized anyone to give you any information other than the information contained in this prospectus, the information incorporated by reference herein, any applicable prospectus supplement or any free writing prospectus filed with the U.S. Securities and Exchange Commission (the “SEC”). We and the selling stockholders take no responsibility for, and can provide no assurances as to the reliability of, any other information that others may give you. Neither we nor the selling stockholders have authorized anyone to provide you with additional information or information different from that contained in this prospectus filed with the SEC. The selling stockholders are offering to sell, and seeking offers to buy, shares of our common stock only in jurisdictions where offers and sales are permitted. You should assume that the information appearing in this prospectus, the applicable prospectus supplement and any related free writing prospectus is accurate only as of the respective dates of those documents.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Non-U.S.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done anything that would permit this offering or possession or distribution of this prospectus, any prospectus supplement or free writing prospectus filed with the SEC, in any jurisdiction where action for that purpose is required, other than in the United States. Persons outside the United States who come into possession of this prospectus, any prospectus supplement or free writing prospectus must inform themselves about, and observe any restrictions relating to, the offering of the shares of common stock and the distribution of this prospectus, any prospectus supplement or free writing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r_003"/>
      <w:bookmarkEnd w:id="4"/>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sections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our Business</w:t>
      </w:r>
      <w:r>
        <w:rPr>
          <w:rFonts w:ascii="Times New Roman;Times;Serif" w:hAnsi="Times New Roman;Times;Serif"/>
          <w:b w:val="false"/>
          <w:i w:val="false"/>
          <w:caps w:val="false"/>
          <w:smallCaps w:val="false"/>
          <w:sz w:val="20"/>
        </w:rPr>
        <w:t>”,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protect and enforce our intellectual property protection and the scope and duration of such protection;</w:t>
            </w:r>
          </w:p>
        </w:tc>
      </w:tr>
    </w:tbl>
    <w:p>
      <w:pPr>
        <w:pStyle w:val="TextBody"/>
        <w:bidi w:val="0"/>
        <w:spacing w:before="0" w:after="0"/>
        <w:ind w:left="720" w:right="0" w:hanging="3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reliance on third parties, including suppliers, delivery platforms, brand sponsors, software providers and service providers;</w:t>
            </w:r>
          </w:p>
        </w:tc>
      </w:tr>
    </w:tbl>
    <w:p>
      <w:pPr>
        <w:pStyle w:val="TextBody"/>
        <w:bidi w:val="0"/>
        <w:spacing w:before="0" w:after="0"/>
        <w:ind w:left="720" w:right="0" w:hanging="3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operate in public spaces and any errors caused by human supervisors, network connectivity or automation;</w:t>
            </w:r>
          </w:p>
        </w:tc>
      </w:tr>
    </w:tbl>
    <w:p>
      <w:pPr>
        <w:pStyle w:val="TextBody"/>
        <w:bidi w:val="0"/>
        <w:spacing w:before="0" w:after="0"/>
        <w:ind w:left="720" w:right="0" w:hanging="3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robots’ reliance on sophisticated software technology that incorporates third-party components and networks to operate, and our ability to maintain licenses for this software technology;</w:t>
            </w:r>
          </w:p>
        </w:tc>
      </w:tr>
    </w:tbl>
    <w:p>
      <w:pPr>
        <w:pStyle w:val="TextBody"/>
        <w:bidi w:val="0"/>
        <w:spacing w:before="0" w:after="0"/>
        <w:ind w:left="720" w:right="0" w:hanging="310"/>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pPr>
            <w:r>
              <w:rPr/>
              <w:t>our ability to commercialize our products at a large scale;</w:t>
            </w:r>
          </w:p>
        </w:tc>
      </w:tr>
    </w:tbl>
    <w:p>
      <w:pPr>
        <w:pStyle w:val="TextBody"/>
        <w:bidi w:val="0"/>
        <w:spacing w:before="0" w:after="0"/>
        <w:ind w:left="720" w:right="0" w:hanging="31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pPr>
            <w:r>
              <w:rPr/>
              <w:t>the competitive industry in which we operate which is subject to rapid technological change;</w:t>
            </w:r>
          </w:p>
        </w:tc>
      </w:tr>
    </w:tbl>
    <w:p>
      <w:pPr>
        <w:pStyle w:val="TextBody"/>
        <w:bidi w:val="0"/>
        <w:spacing w:before="0" w:after="0"/>
        <w:ind w:left="720" w:right="0" w:hanging="31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pPr>
            <w:r>
              <w:rPr/>
              <w:t>our ability to raise additional capital to develop our technology and scale our operations;</w:t>
            </w:r>
          </w:p>
        </w:tc>
      </w:tr>
    </w:tbl>
    <w:p>
      <w:pPr>
        <w:pStyle w:val="TextBody"/>
        <w:bidi w:val="0"/>
        <w:spacing w:before="0" w:after="0"/>
        <w:ind w:left="720" w:right="0" w:hanging="31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both"/>
              <w:rPr/>
            </w:pPr>
            <w:r>
              <w:rPr/>
              <w:t>developments and projections relating to our competitors and our industry;</w:t>
            </w:r>
          </w:p>
        </w:tc>
      </w:tr>
    </w:tbl>
    <w:p>
      <w:pPr>
        <w:pStyle w:val="TextBody"/>
        <w:bidi w:val="0"/>
        <w:spacing w:before="0" w:after="0"/>
        <w:ind w:left="720" w:right="0" w:hanging="31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pPr>
            <w:r>
              <w:rPr/>
              <w:t>our ability to adequately control the costs associated with our operations;</w:t>
            </w:r>
          </w:p>
        </w:tc>
      </w:tr>
    </w:tbl>
    <w:p>
      <w:pPr>
        <w:pStyle w:val="TextBody"/>
        <w:bidi w:val="0"/>
        <w:spacing w:before="0" w:after="0"/>
        <w:ind w:left="720" w:right="0" w:hanging="3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impact of current and future laws and regulations, especially those related to personal delivery devices;</w:t>
            </w:r>
          </w:p>
        </w:tc>
      </w:tr>
    </w:tbl>
    <w:p>
      <w:pPr>
        <w:pStyle w:val="TextBody"/>
        <w:bidi w:val="0"/>
        <w:spacing w:before="0" w:after="0"/>
        <w:ind w:left="720" w:right="0" w:hanging="3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cybersecurity risks to our operational systems, infrastructure, and integrated software by us or third-party vendors;</w:t>
            </w:r>
          </w:p>
        </w:tc>
      </w:tr>
    </w:tbl>
    <w:p>
      <w:pPr>
        <w:pStyle w:val="TextBody"/>
        <w:bidi w:val="0"/>
        <w:spacing w:before="0" w:after="0"/>
        <w:ind w:left="720" w:right="0" w:hanging="31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the development of a market for our common stock;</w:t>
            </w:r>
          </w:p>
        </w:tc>
      </w:tr>
    </w:tbl>
    <w:p>
      <w:pPr>
        <w:pStyle w:val="TextBody"/>
        <w:bidi w:val="0"/>
        <w:spacing w:before="0" w:after="0"/>
        <w:ind w:left="720" w:right="0" w:hanging="310"/>
        <w:jc w:val="both"/>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pPr>
            <w:r>
              <w:rPr/>
              <w:t>the impact of the COVID-19 crisis on our business, results of operations and future growth prospects;</w:t>
            </w:r>
          </w:p>
        </w:tc>
      </w:tr>
    </w:tbl>
    <w:p>
      <w:pPr>
        <w:pStyle w:val="TextBody"/>
        <w:bidi w:val="0"/>
        <w:spacing w:before="0" w:after="0"/>
        <w:ind w:left="720" w:right="0" w:hanging="31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7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pPr>
            <w:r>
              <w:rPr/>
              <w:t>our intended use of proceeds from the Private Placement (as defined below); and</w:t>
            </w:r>
          </w:p>
        </w:tc>
      </w:tr>
    </w:tbl>
    <w:p>
      <w:pPr>
        <w:pStyle w:val="TextBody"/>
        <w:bidi w:val="0"/>
        <w:spacing w:before="0" w:after="0"/>
        <w:ind w:left="720" w:right="0" w:hanging="31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pPr>
            <w:r>
              <w:rPr/>
              <w:t>other risks and uncertainties, including those listed under the caption “</w:t>
            </w:r>
            <w:r>
              <w:rPr>
                <w:i/>
              </w:rPr>
              <w:t>Risk Factors</w:t>
            </w:r>
            <w:r>
              <w:rPr/>
              <w: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in any applicable prospectus supplement and in any related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in this prospectus, in any applicable prospectus supplement and in any related free writing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Except as required by law, we assume no obligation to update or revise these forward-looking statements for any reason, even if new information becomes available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any applicable prospectus supplement and any related free writing prospectus may contain, estimates, projections and other information concerning our industry, our business and the markets for certain robotics. Information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that we believe to be reliable. In some cases, we do not expressly refer to the sources from which such data are derived.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5" w:name="r_004"/>
      <w:bookmarkEnd w:id="5"/>
      <w:r>
        <w:rPr>
          <w:rFonts w:ascii="Times New Roman;Times;Serif" w:hAnsi="Times New Roman;Times;Serif"/>
          <w:b/>
          <w:i w:val="false"/>
          <w:caps/>
          <w:sz w:val="20"/>
          <w:bdr w:val="single" w:sz="12" w:space="1" w:color="000000"/>
        </w:rPr>
        <w:t>PROSPECTUS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the Company and this offering, we encourage you to read and consider carefully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includes a number of technical terms. Please see “</w:t>
      </w:r>
      <w:r>
        <w:rPr>
          <w:rFonts w:ascii="Times New Roman;Times;Serif" w:hAnsi="Times New Roman;Times;Serif"/>
          <w:b w:val="false"/>
          <w:i/>
          <w:caps w:val="false"/>
          <w:smallCaps w:val="false"/>
          <w:sz w:val="20"/>
          <w:bdr w:val="single" w:sz="12" w:space="1" w:color="000000"/>
        </w:rPr>
        <w:t>Glossary of Terms and Abbreviations</w:t>
      </w:r>
      <w:r>
        <w:rPr>
          <w:rFonts w:ascii="Times New Roman;Times;Serif" w:hAnsi="Times New Roman;Times;Serif"/>
          <w:b w:val="false"/>
          <w:i w:val="false"/>
          <w:caps w:val="false"/>
          <w:smallCaps w:val="false"/>
          <w:sz w:val="20"/>
          <w:bdr w:val="single" w:sz="12" w:space="1" w:color="000000"/>
        </w:rPr>
        <w:t>” beginning on page 40.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on a mission to deliver a sustainable future.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Serve’s first product is an advanced, AI-powered, low-emissions sidewalk delivery robot (“delivery robots”) that serves people in public spaces, which started with last-mile food delivery in Los Angeles during the COVID-19 pandemic shutdowns. Serve’s current fleet of robots consists of over 100 robots, and we plan to expand our fleet by building and deploying hundreds of new robots in coming years after raising additional rounds of financing. We have platform-level integrations with the Uber Eats division of Uber Technologies, Inc. (“Uber”) and 7-Eleven, Inc. Our strategic investors include NVIDIA, Uber, 7-Ventures and Delivery Hero’s corporate venture units, alongside other world-class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team comes with an unparalleled depth of expertise in food delivery, with our engineering team having extensive experience in AI, automation and robotics. Our leadership team includes veterans from Uber, Postmates Inc. (“Postmates”), Waymo, Apple Inc., Blue Origin, LLC, GoPro, Inc., GoDaddy Inc., and Anki, Inc. Our expertise uniquely positions us to service the ever-growing on-demand delivery market, including food delivery.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Based on our proprietary historical delivery data, approximately half of all delivery distances in the United States are less than 2.5 miles and well-suited to delivery by sidewalk robots. We provide a robotic delivery experience that delights customers, improves reliability for merchants and reduces traffic congestion and vehicle emissions. Moreover, at scale we expect our robots will complete deliveries at lower cost than human couriers, making on-demand delivery more affordable and accessible in the areas in which we operate.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Industry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Despite new technological innovations of the past few decades as well as growing adoption of online commerce and home delivery, last-mile delivery has remained costly and inefficient. In 2022, DoorDash, the largest food delivery platform in the United States, reported 35% revenue growth while net losses increased over 190%. Besides on-demand delivery, next-day parcel delivery has also struggled with last-mile cost. For example, in May 2023, Amazon announced a program to reduce its delivery costs by offering customers $10 to pick up items from nearby stores.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number of factors have contributed to keeping last-mile costs high: labor shortages, wage inflation, and regulatory pressures to classify gig workers as employees. The aforementioned serve as tailwinds that are expected to accelerate the adoption of automation in last-mile delivery.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Deliveries vary by distance, cargo size, cargo sensitivity and timing requirements, among other factors. Today, most next-day parcels are delivered using trucks, while on-demand food delivery largely takes place in personal vehicles. Overall, a small percentage of short-distance deliveries are performed on bicycles. As automation is introduced, different automated technologies will be best suited for different deliveries. Autonomous vehicles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rapidly over the coming years.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Sidewalk robots are best suited for short-distance deliveries in populated environments. The applications of robotics in delivery are wide-ranging, from on-demand food and grocery to convenience goods, alcohol, pharmaceuticals, parcels, and more. According to Business Insider, the market for delivery robots is predicted to grow to $1 trillion by 2030.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automation increases the efficiency of last-mile delivery, we anticipate significant opportunities for impact by lowering delivery costs, increasing on-demand adoption, making reverse logistics easier, and increasing local commerce activity.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Also, replacing car deliveries with sidewalk robotic delivery can improve road safety and make cities friendlier for pedestrians and bicyclists. Due to their lower speed and weight, sidewalk delivery robots have significantly less kinetic energy than an average automobile: an average U.S. passenger car weighing 4,100 lbs and traveling at 30 miles per hour carries 167 kJ of kinetic energy which upon impact with a pedestrian may result in severe injury or fatality, whereas a Serve robot weighing 200 lbs and traveling at its maximum speed of 7 miles per hour carries 0.44 kJ, or 0.27% of the kinetic energy of the car, which is unlikely to cause severe injury or fatality. As such, to date there has been no reported case of severe injury caused by Serve delivery robots. We share incident and infrastructure data with jurisdictions in which we operate (currently West Hollywood and Los Angeles, California).</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Lastly, according to a study published in Transportation Research Part D: Transport and Environment (Volume 85, August 2020,102443), greenhouse gases (“GHG”) emissions from operating sidewalk delivery robots, including emissions from charging battery and transportation to/from delivery hubs, are over 96% lower than emissions from operating internal combustion engine vehicles.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Risks Related to Our Business and Industry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ability to implement our current business strategy is subject to numerous risks, as more fully described in the section titled “</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These risks include, among others, the following: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Because we are an early-stage company with minimal revenue and a history of losses and we expect to continue to incur substantial losses for the foreseeable future, we cannot assure you that we can or will be able to operate profitably;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both"/>
              <w:rPr/>
            </w:pPr>
            <w:r>
              <w:rPr/>
              <w:t>●</w:t>
            </w:r>
          </w:p>
        </w:tc>
        <w:tc>
          <w:tcPr>
            <w:tcW w:w="9994" w:type="dxa"/>
            <w:tcBorders/>
            <w:vAlign w:val="center"/>
          </w:tcPr>
          <w:p>
            <w:pPr>
              <w:pStyle w:val="TableContents"/>
              <w:bidi w:val="0"/>
              <w:spacing w:before="0" w:after="283"/>
              <w:jc w:val="both"/>
              <w:rPr/>
            </w:pPr>
            <w:r>
              <w:rPr/>
              <w:t>We have a limited operating history, which may make it difficult to evaluate our business and prospects;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If we fail to effectively manage our growth, we may not be able to design, develop, manufacture, market and launch new generations of our robotic systems successfully;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both"/>
              <w:rPr/>
            </w:pPr>
            <w:r>
              <w:rPr/>
              <w:t>●</w:t>
            </w:r>
          </w:p>
        </w:tc>
        <w:tc>
          <w:tcPr>
            <w:tcW w:w="9901" w:type="dxa"/>
            <w:tcBorders/>
            <w:vAlign w:val="center"/>
          </w:tcPr>
          <w:p>
            <w:pPr>
              <w:pStyle w:val="TableContents"/>
              <w:bidi w:val="0"/>
              <w:spacing w:before="0" w:after="283"/>
              <w:jc w:val="both"/>
              <w:rPr/>
            </w:pPr>
            <w:r>
              <w:rPr/>
              <w:t>A significant portion of our revenue is concentrated with one customer;</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Our future revenue plans rely on partnering with third-party delivery platforms, brand sponsors and/or direct sales to merchants. Delays with launching such partnerships, changes in delivery partner platform algorithms, and inability to fill our advertising inventory have in the past led to our inability to fully utilize our robotic fleet;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Failure of our service providers or disruptions to our outsourcing relationships, such as internet connectivity issues, have in the past and may in the future negatively impact our ability to conduct our business;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Our robots operate in public spaces and any errors caused by human supervisors, network connectivity issues, third-party software, or automation may adversely affect our commercial relationships;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Our robots rely on sophisticated software technology that incorporate third-party components and networks to operate, and the inability to maintain licenses for these software technology, errors in the software we license or the terms of open-source licenses could result in increased costs or reduced service levels, which would adversely affect our business; we have experienced interruptions to our service due to third party software or service availability issues in the past;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benefit of our products could be supplanted by other technologies or solutions or competitors’ products that utilize similar technology to ours in a more effective way;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We have limited experience commercializing our products at a large scale and may not be able to do so efficiently or effectively; and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We are substantially reliant on our relationships with suppliers and service providers for the parts and components in our robots, as well as for the manufacture of our robots. If any of these suppliers or service partners choose to not do business with us then we would have significant difficulty in procuring and producing our robots and our business prospects would be significantly harmed.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Merger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31, 2023, the Company, our wholly-owned subsidiary, Serve Acquisition Co., a corporation formed in the State of Delaware on July 10, 2023 (“Acquisition Sub”), and Serve entered into an Agreement and Plan of Merger and Reorganization (the “Merger Agreement”). Pursuant to the terms of the Merger Agreement, on July 31, 2023 (the “Closing Date”), Acquisition Sub merged with and into Serve, with Serve continuing as the surviving corporation and our wholly-owned subsidiary (the “Merger”).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of the Merger, we acquired the business of Serve, which designs, develops and operates an advanced, AI-powered robotics mobility platform, with last mile delivery in cities as its first application. See “</w:t>
      </w:r>
      <w:r>
        <w:rPr>
          <w:rFonts w:ascii="Times New Roman;Times;Serif" w:hAnsi="Times New Roman;Times;Serif"/>
          <w:b w:val="false"/>
          <w:i/>
          <w:caps w:val="false"/>
          <w:smallCaps w:val="false"/>
          <w:sz w:val="20"/>
          <w:bdr w:val="single" w:sz="12" w:space="1" w:color="000000"/>
        </w:rPr>
        <w:t>Description of our Business</w:t>
      </w:r>
      <w:r>
        <w:rPr>
          <w:rFonts w:ascii="Times New Roman;Times;Serif" w:hAnsi="Times New Roman;Times;Serif"/>
          <w:b w:val="false"/>
          <w:i w:val="false"/>
          <w:caps w:val="false"/>
          <w:smallCaps w:val="false"/>
          <w:sz w:val="20"/>
          <w:bdr w:val="single" w:sz="12" w:space="1" w:color="000000"/>
        </w:rPr>
        <w:t>” below. At the time the certificate of merger reflecting the Merger was filed with the Secretary of State of Delaware (the “Effective Time”), each of Serve’s shares of capital stock issued and outstanding immediately prior to the closing of the Merger was converted into the right to receive 0.8035 shares of our common stock (the “Common Share Conversion Ratio”)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Company common stock owned by our stockholders prior to the Merger were forfeited and canceled (the “Stock Forfeiture”). In addition, pursuant to the Merger Agreement, (i) options to purchase 1,984,951 shares of Serve’s common stock issued and outstanding immediately prior to the closing of the Merger under Serve’s 2021 Stock Plan (the “Serve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simple agreement for future equity (“SAFEs”) totaling $15.55 million were converted into 4,372,613 shares of our common stock.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the closing of the Merger, Patricia Acquisition Corp. changed its name to Serve Robotics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w:t>
      </w:r>
      <w:r>
        <w:rPr>
          <w:rFonts w:ascii="Times New Roman;Times;Serif" w:hAnsi="Times New Roman;Times;Serif"/>
          <w:b w:val="false"/>
          <w:i/>
          <w:caps w:val="false"/>
          <w:smallCaps w:val="false"/>
          <w:sz w:val="20"/>
          <w:bdr w:val="single" w:sz="12" w:space="1" w:color="000000"/>
        </w:rPr>
        <w:t>Description of Capital Stock</w:t>
      </w:r>
      <w:r>
        <w:rPr>
          <w:rFonts w:ascii="Times New Roman;Times;Serif" w:hAnsi="Times New Roman;Times;Serif"/>
          <w:b w:val="false"/>
          <w:i w:val="false"/>
          <w:caps w:val="false"/>
          <w:smallCaps w:val="false"/>
          <w:sz w:val="20"/>
          <w:bdr w:val="single" w:sz="12" w:space="1" w:color="000000"/>
        </w:rPr>
        <w:t>” below for more information. The issuance of shares of our common stock, options, or warrants to purchase shares of our common stock, to Serve’s former security holders are collectively referred to as the “Share Conversion.”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condition to the Merger, on July 31, 2023, we entered into indemnity agreements with our former officer and directors (the “Pre-Merger Indemnity Agreement”), pursuant to which we agreed to indemnify such former officer and directors for actions taken by them in their official capacities relating to the consideration, approval and consummation of the Merger and certain related transactions.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Merger was treated as a recapitalization and reverse acquisition for us for financial reporting purposes. Serve is considered the acquirer for accounting purposes. Our historical financial statements before the Merger have been replaced with the historical financial statements of Serve before the Merger in the registration statement of which this prospectus is a part, and in future filings with the SEC. The Merger is intended to be treated as a tax-free reorganization under Section 368(a) of the Internal Revenue Code of 1986, as amended (the “Code”).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securities issued pursuant to the Share Conversion (the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The Converted Securities, including the Merger Shares included in this prospectus, are also subject to further contractual restrictions on transfer under the lock-up agreement, pursuant to which, subject to certain exceptions, applicable holders are not to dispose of or hedge any shares of common stock or securities convertible into or exchangeable for shares of common stock during the period from July 31, 2023, the date of the lockup agreement, continuing through the date 12 months after the date of the lockup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the lock-up periods set forth in the agreements described above, 17,990,333 shares of our common stock will be eligible for sale in the public market in compliance with Rule 144 or another exemption under the Securities Act or pursuant to the registration statement of which this prospectus forms a part.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Private Placement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the Effective Time of the Merger, we sold 3,183,671 shares of our common stock pursuant to a private placement offering, at a purchase price of $4.00 per share in multiple closings through October 26, 2023. The private placement offering is referred to herein as the “Private Placement.” We also issued 937,961 shares of our common stock to convert the outstanding principal and interest of outstanding Bridge Notes in connection with the consummation of the Merger.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aggregate gross proceeds from the Private Placement was approximately $15.74 million (including the aggregate principal amount of Bridge Notes converted as more fully described in the section titled “</w:t>
      </w:r>
      <w:r>
        <w:rPr>
          <w:rFonts w:ascii="Times New Roman;Times;Serif" w:hAnsi="Times New Roman;Times;Serif"/>
          <w:b w:val="false"/>
          <w:i/>
          <w:caps w:val="false"/>
          <w:smallCaps w:val="false"/>
          <w:sz w:val="20"/>
          <w:bdr w:val="single" w:sz="12" w:space="1" w:color="000000"/>
        </w:rPr>
        <w:t>Description of the Merger, the Offering, and Related Transactions</w:t>
      </w:r>
      <w:r>
        <w:rPr>
          <w:rFonts w:ascii="Times New Roman;Times;Serif" w:hAnsi="Times New Roman;Times;Serif"/>
          <w:b w:val="false"/>
          <w:i w:val="false"/>
          <w:caps w:val="false"/>
          <w:smallCaps w:val="false"/>
          <w:sz w:val="20"/>
          <w:bdr w:val="single" w:sz="12" w:space="1" w:color="000000"/>
        </w:rPr>
        <w:t>,” before deducting placement agent fees and expenses of approximately $1.74 million).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Offering was exempt from registration under Section 4(a)(2) of the Securities Act and Rule 506 of Regulation D promulgated by the SEC thereunder. The common stock was sold to “accredited investors,” as defined in Regulation D, and was conducted on a “reasonable best efforts” basis.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 and a Smaller Reporting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company with less than $1.07 billion in revenue during our last fiscal year, we qualify as an “emerging growth company” as defined in the Jumpstart Our Business Startups Act of 2012 (“JOBS Act”). An emerging growth company may take advantage of reduced reporting requirements that are otherwise applicable to public companies. These provisions include, but are not limited 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455" w:type="dxa"/>
            <w:tcBorders/>
            <w:vAlign w:val="center"/>
          </w:tcPr>
          <w:p>
            <w:pPr>
              <w:pStyle w:val="TableContents"/>
              <w:bidi w:val="0"/>
              <w:spacing w:before="0" w:after="283"/>
              <w:jc w:val="both"/>
              <w:rPr/>
            </w:pPr>
            <w:r>
              <w:rPr/>
              <w:t>reduced disclosure about our executive compensation arrangements;</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not being required to comply with the auditor attestation requirements of Section 404 of the Sarbanes-Oxley Act, as amended, on the effectiveness of our internal controls over financial reporting;</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reduced disclosure obligations regarding executive compensation arrangements in our periodic reports, proxy statements and registration statements, including this prospectus; and</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exemptions from the requirements of holding a nonbinding advisory vote on executive compensation and stockholder approval of any golden parachute payments not previously approved.</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use these provisions until the last day of our fiscal year in which the fifth anniversary of the first sale of our common stock pursuant to an effective registration statement occurs. However, if certain events occur prior to the end of such five-year period, including if we become a “large accelerated filer,” our annual gross revenues exceed $1.07 billion or we issue more than $1.00 billion of non-convertible debt in any three-year period, we will cease to be an emerging growth company prior to the end of such five-year period.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in the State of Delaware as Patricia Acquisition Corp. on November 9, 2020. On July 31, 2023, Serve Acquisition Corp. merged with and into Serve.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Immediately after completion of the Merger, we changed our name to “Serve Robotics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Prior to the Merger, Patricia Acquisition Corp. was a “shell” company registered under the Exchange Act, with no specific business plan or purpose until it began operating the business of Serve following the closing of the Merger.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Our principal executive offices are located at 730 Broadway, Redwood City, California 94063. Our telephone number is (818) 860-1352. Our website address is </w:t>
      </w:r>
      <w:r>
        <w:rPr>
          <w:rFonts w:ascii="Times New Roman;Times;Serif" w:hAnsi="Times New Roman;Times;Serif"/>
          <w:b w:val="false"/>
          <w:i/>
          <w:caps w:val="false"/>
          <w:smallCaps w:val="false"/>
          <w:sz w:val="20"/>
          <w:bdr w:val="single" w:sz="12" w:space="1" w:color="000000"/>
        </w:rPr>
        <w:t xml:space="preserve">www.serverobotics.com. </w:t>
      </w:r>
      <w:r>
        <w:rPr>
          <w:rFonts w:ascii="Times New Roman;Times;Serif" w:hAnsi="Times New Roman;Times;Serif"/>
          <w:b w:val="false"/>
          <w:i w:val="false"/>
          <w:caps w:val="false"/>
          <w:smallCaps w:val="false"/>
          <w:sz w:val="20"/>
          <w:bdr w:val="single" w:sz="12" w:space="1" w:color="000000"/>
        </w:rPr>
        <w:t>Information contained on, or that can be accessed through, our website is not a part of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6" w:name="r_005"/>
      <w:bookmarkEnd w:id="6"/>
      <w:r>
        <w:rPr>
          <w:rFonts w:ascii="Times New Roman;Times;Serif" w:hAnsi="Times New Roman;Times;Serif"/>
          <w:b/>
          <w:i w:val="false"/>
          <w:caps/>
          <w:sz w:val="20"/>
          <w:bdr w:val="single" w:sz="12" w:space="1" w:color="000000"/>
        </w:rPr>
        <w:t>THE OFFERING</w:t>
      </w:r>
    </w:p>
    <w:p>
      <w:pPr>
        <w:pStyle w:val="TextBody"/>
        <w:bidi w:val="0"/>
        <w:spacing w:before="0" w:after="0"/>
        <w:ind w:left="0" w:right="0" w:hanging="0"/>
        <w:jc w:val="center"/>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84"/>
        <w:gridCol w:w="8621"/>
      </w:tblGrid>
      <w:tr>
        <w:trPr/>
        <w:tc>
          <w:tcPr>
            <w:tcW w:w="1584" w:type="dxa"/>
            <w:tcBorders/>
            <w:vAlign w:val="center"/>
          </w:tcPr>
          <w:p>
            <w:pPr>
              <w:pStyle w:val="TableContents"/>
              <w:bidi w:val="0"/>
              <w:spacing w:before="0" w:after="283"/>
              <w:ind w:left="0" w:right="0" w:hanging="180"/>
              <w:jc w:val="left"/>
              <w:rPr>
                <w:b/>
                <w:i/>
              </w:rPr>
            </w:pPr>
            <w:r>
              <w:rPr>
                <w:b/>
                <w:i/>
              </w:rPr>
              <w:t>Common stock offered by selling stockholders</w:t>
            </w:r>
          </w:p>
        </w:tc>
        <w:tc>
          <w:tcPr>
            <w:tcW w:w="8621" w:type="dxa"/>
            <w:tcBorders/>
            <w:vAlign w:val="center"/>
          </w:tcPr>
          <w:p>
            <w:pPr>
              <w:pStyle w:val="TableContents"/>
              <w:bidi w:val="0"/>
              <w:spacing w:before="0" w:after="283"/>
              <w:ind w:left="0" w:right="0" w:hanging="180"/>
              <w:jc w:val="both"/>
              <w:rPr/>
            </w:pPr>
            <w:r>
              <w:rPr/>
              <w:t>18,960,989 shares</w:t>
            </w:r>
          </w:p>
        </w:tc>
      </w:tr>
      <w:tr>
        <w:trPr/>
        <w:tc>
          <w:tcPr>
            <w:tcW w:w="1584" w:type="dxa"/>
            <w:tcBorders/>
            <w:vAlign w:val="center"/>
          </w:tcPr>
          <w:p>
            <w:pPr>
              <w:pStyle w:val="TableContents"/>
              <w:bidi w:val="0"/>
              <w:spacing w:before="0" w:after="283"/>
              <w:jc w:val="both"/>
              <w:rPr/>
            </w:pPr>
            <w:r>
              <w:rPr/>
              <w:t> </w:t>
            </w:r>
          </w:p>
        </w:tc>
        <w:tc>
          <w:tcPr>
            <w:tcW w:w="8621" w:type="dxa"/>
            <w:tcBorders/>
            <w:vAlign w:val="center"/>
          </w:tcPr>
          <w:p>
            <w:pPr>
              <w:pStyle w:val="TableContents"/>
              <w:bidi w:val="0"/>
              <w:spacing w:before="0" w:after="283"/>
              <w:ind w:left="0" w:right="0" w:hanging="180"/>
              <w:jc w:val="both"/>
              <w:rPr/>
            </w:pPr>
            <w:r>
              <w:rPr/>
              <w:t> </w:t>
            </w:r>
          </w:p>
        </w:tc>
      </w:tr>
      <w:tr>
        <w:trPr/>
        <w:tc>
          <w:tcPr>
            <w:tcW w:w="1584" w:type="dxa"/>
            <w:tcBorders/>
            <w:vAlign w:val="center"/>
          </w:tcPr>
          <w:p>
            <w:pPr>
              <w:pStyle w:val="TableContents"/>
              <w:bidi w:val="0"/>
              <w:spacing w:before="0" w:after="283"/>
              <w:jc w:val="both"/>
              <w:rPr>
                <w:b/>
                <w:i/>
              </w:rPr>
            </w:pPr>
            <w:r>
              <w:rPr>
                <w:b/>
                <w:i/>
              </w:rPr>
              <w:t>Common stock outstanding</w:t>
            </w:r>
          </w:p>
        </w:tc>
        <w:tc>
          <w:tcPr>
            <w:tcW w:w="8621" w:type="dxa"/>
            <w:tcBorders/>
            <w:vAlign w:val="center"/>
          </w:tcPr>
          <w:p>
            <w:pPr>
              <w:pStyle w:val="TableContents"/>
              <w:bidi w:val="0"/>
              <w:spacing w:before="0" w:after="283"/>
              <w:ind w:left="0" w:right="0" w:hanging="180"/>
              <w:jc w:val="both"/>
              <w:rPr/>
            </w:pPr>
            <w:r>
              <w:rPr/>
              <w:t>24,832,814 shares</w:t>
            </w:r>
          </w:p>
        </w:tc>
      </w:tr>
      <w:tr>
        <w:trPr/>
        <w:tc>
          <w:tcPr>
            <w:tcW w:w="1584" w:type="dxa"/>
            <w:tcBorders/>
            <w:vAlign w:val="center"/>
          </w:tcPr>
          <w:p>
            <w:pPr>
              <w:pStyle w:val="TableContents"/>
              <w:bidi w:val="0"/>
              <w:spacing w:before="0" w:after="283"/>
              <w:jc w:val="both"/>
              <w:rPr/>
            </w:pPr>
            <w:r>
              <w:rPr/>
              <w:t> </w:t>
            </w:r>
          </w:p>
        </w:tc>
        <w:tc>
          <w:tcPr>
            <w:tcW w:w="8621" w:type="dxa"/>
            <w:tcBorders/>
            <w:vAlign w:val="center"/>
          </w:tcPr>
          <w:p>
            <w:pPr>
              <w:pStyle w:val="TableContents"/>
              <w:bidi w:val="0"/>
              <w:spacing w:before="0" w:after="283"/>
              <w:ind w:left="0" w:right="0" w:hanging="180"/>
              <w:jc w:val="both"/>
              <w:rPr/>
            </w:pPr>
            <w:r>
              <w:rPr/>
              <w:t> </w:t>
            </w:r>
          </w:p>
        </w:tc>
      </w:tr>
      <w:tr>
        <w:trPr/>
        <w:tc>
          <w:tcPr>
            <w:tcW w:w="1584" w:type="dxa"/>
            <w:tcBorders/>
            <w:vAlign w:val="center"/>
          </w:tcPr>
          <w:p>
            <w:pPr>
              <w:pStyle w:val="TableContents"/>
              <w:bidi w:val="0"/>
              <w:spacing w:before="0" w:after="283"/>
              <w:jc w:val="both"/>
              <w:rPr>
                <w:b/>
                <w:i/>
              </w:rPr>
            </w:pPr>
            <w:r>
              <w:rPr>
                <w:b/>
                <w:i/>
              </w:rPr>
              <w:t>Use of proceeds</w:t>
            </w:r>
          </w:p>
        </w:tc>
        <w:tc>
          <w:tcPr>
            <w:tcW w:w="8621" w:type="dxa"/>
            <w:tcBorders/>
            <w:vAlign w:val="center"/>
          </w:tcPr>
          <w:p>
            <w:pPr>
              <w:pStyle w:val="TableContents"/>
              <w:bidi w:val="0"/>
              <w:spacing w:before="0" w:after="283"/>
              <w:ind w:left="0" w:right="0" w:hanging="180"/>
              <w:jc w:val="both"/>
              <w:rPr/>
            </w:pPr>
            <w:r>
              <w:rPr/>
              <w:t>We will not receive any proceeds from the sale of the shares of common stock offered by the selling stockholders.</w:t>
            </w:r>
          </w:p>
        </w:tc>
      </w:tr>
      <w:tr>
        <w:trPr/>
        <w:tc>
          <w:tcPr>
            <w:tcW w:w="1584" w:type="dxa"/>
            <w:tcBorders/>
            <w:vAlign w:val="center"/>
          </w:tcPr>
          <w:p>
            <w:pPr>
              <w:pStyle w:val="TableContents"/>
              <w:bidi w:val="0"/>
              <w:spacing w:before="0" w:after="283"/>
              <w:jc w:val="both"/>
              <w:rPr/>
            </w:pPr>
            <w:r>
              <w:rPr/>
              <w:t> </w:t>
            </w:r>
          </w:p>
        </w:tc>
        <w:tc>
          <w:tcPr>
            <w:tcW w:w="8621" w:type="dxa"/>
            <w:tcBorders/>
            <w:vAlign w:val="center"/>
          </w:tcPr>
          <w:p>
            <w:pPr>
              <w:pStyle w:val="TableContents"/>
              <w:bidi w:val="0"/>
              <w:spacing w:before="0" w:after="283"/>
              <w:ind w:left="0" w:right="0" w:hanging="180"/>
              <w:jc w:val="both"/>
              <w:rPr/>
            </w:pPr>
            <w:r>
              <w:rPr/>
              <w:t> </w:t>
            </w:r>
          </w:p>
        </w:tc>
      </w:tr>
      <w:tr>
        <w:trPr/>
        <w:tc>
          <w:tcPr>
            <w:tcW w:w="1584" w:type="dxa"/>
            <w:tcBorders/>
            <w:vAlign w:val="center"/>
          </w:tcPr>
          <w:p>
            <w:pPr>
              <w:pStyle w:val="TableContents"/>
              <w:bidi w:val="0"/>
              <w:spacing w:before="0" w:after="283"/>
              <w:jc w:val="both"/>
              <w:rPr>
                <w:b/>
                <w:i/>
              </w:rPr>
            </w:pPr>
            <w:r>
              <w:rPr>
                <w:b/>
                <w:i/>
              </w:rPr>
              <w:t>Offering price</w:t>
            </w:r>
          </w:p>
        </w:tc>
        <w:tc>
          <w:tcPr>
            <w:tcW w:w="8621" w:type="dxa"/>
            <w:tcBorders/>
            <w:vAlign w:val="center"/>
          </w:tcPr>
          <w:p>
            <w:pPr>
              <w:pStyle w:val="TableContents"/>
              <w:bidi w:val="0"/>
              <w:spacing w:before="0" w:after="283"/>
              <w:ind w:left="0" w:right="0" w:hanging="180"/>
              <w:jc w:val="both"/>
              <w:rPr/>
            </w:pPr>
            <w:r>
              <w:rPr/>
              <w:t>The selling stockholders may only sell their shares of common stock pursuant to this prospectus at a fixed price of $4.00 per share until such time as our common stock is quoted on the OTCQB, or another public trading market for the common stock otherwise develops. At and after such time, the selling stockholders may sell all or a portion of their shares through public or private transactions at prevailing market prices or at privately negotiated prices.</w:t>
            </w:r>
          </w:p>
        </w:tc>
      </w:tr>
      <w:tr>
        <w:trPr/>
        <w:tc>
          <w:tcPr>
            <w:tcW w:w="1584" w:type="dxa"/>
            <w:tcBorders/>
            <w:vAlign w:val="center"/>
          </w:tcPr>
          <w:p>
            <w:pPr>
              <w:pStyle w:val="TableContents"/>
              <w:bidi w:val="0"/>
              <w:spacing w:before="0" w:after="283"/>
              <w:jc w:val="both"/>
              <w:rPr/>
            </w:pPr>
            <w:r>
              <w:rPr/>
              <w:t> </w:t>
            </w:r>
          </w:p>
        </w:tc>
        <w:tc>
          <w:tcPr>
            <w:tcW w:w="8621" w:type="dxa"/>
            <w:tcBorders/>
            <w:vAlign w:val="center"/>
          </w:tcPr>
          <w:p>
            <w:pPr>
              <w:pStyle w:val="TableContents"/>
              <w:bidi w:val="0"/>
              <w:spacing w:before="0" w:after="283"/>
              <w:ind w:left="0" w:right="0" w:hanging="180"/>
              <w:jc w:val="both"/>
              <w:rPr/>
            </w:pPr>
            <w:r>
              <w:rPr/>
              <w:t> </w:t>
            </w:r>
          </w:p>
        </w:tc>
      </w:tr>
      <w:tr>
        <w:trPr/>
        <w:tc>
          <w:tcPr>
            <w:tcW w:w="1584"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w:t>
            </w:r>
          </w:p>
        </w:tc>
        <w:tc>
          <w:tcPr>
            <w:tcW w:w="8621" w:type="dxa"/>
            <w:tcBorders/>
            <w:vAlign w:val="center"/>
          </w:tcPr>
          <w:p>
            <w:pPr>
              <w:pStyle w:val="TableContents"/>
              <w:bidi w:val="0"/>
              <w:spacing w:before="0" w:after="283"/>
              <w:ind w:left="0" w:right="0" w:hanging="180"/>
              <w:jc w:val="both"/>
              <w:rPr/>
            </w:pPr>
            <w:r>
              <w:rPr/>
              <w:t>In connection with the initial closing of the Private Placement, all officers, directors, and principal stockholders (with 5% or more of the common stock of the Company) agreed, subject to certain exceptions, not to dispose of or hedge any shares of common stock or securities convertible into or exchangeable for shares of common stock during the period from July 31, 2023, the date of the lockup agreement, continuing through the date 12 months after the date of the lockup agreement. Of the shares being offered for resale by the selling stockholders under this registration statement, 6,812,551 shares are not subject to lock-up restrictions.</w:t>
            </w:r>
          </w:p>
        </w:tc>
      </w:tr>
      <w:tr>
        <w:trPr/>
        <w:tc>
          <w:tcPr>
            <w:tcW w:w="1584" w:type="dxa"/>
            <w:tcBorders/>
            <w:vAlign w:val="center"/>
          </w:tcPr>
          <w:p>
            <w:pPr>
              <w:pStyle w:val="TableContents"/>
              <w:bidi w:val="0"/>
              <w:spacing w:before="0" w:after="283"/>
              <w:jc w:val="both"/>
              <w:rPr/>
            </w:pPr>
            <w:r>
              <w:rPr/>
              <w:t> </w:t>
            </w:r>
          </w:p>
        </w:tc>
        <w:tc>
          <w:tcPr>
            <w:tcW w:w="8621" w:type="dxa"/>
            <w:tcBorders/>
            <w:vAlign w:val="center"/>
          </w:tcPr>
          <w:p>
            <w:pPr>
              <w:pStyle w:val="TableContents"/>
              <w:bidi w:val="0"/>
              <w:spacing w:before="0" w:after="283"/>
              <w:ind w:left="0" w:right="0" w:hanging="180"/>
              <w:jc w:val="both"/>
              <w:rPr/>
            </w:pPr>
            <w:r>
              <w:rPr/>
              <w:t> </w:t>
            </w:r>
          </w:p>
        </w:tc>
      </w:tr>
      <w:tr>
        <w:trPr/>
        <w:tc>
          <w:tcPr>
            <w:tcW w:w="1584" w:type="dxa"/>
            <w:tcBorders/>
            <w:vAlign w:val="center"/>
          </w:tcPr>
          <w:p>
            <w:pPr>
              <w:pStyle w:val="TableContents"/>
              <w:bidi w:val="0"/>
              <w:spacing w:before="0" w:after="283"/>
              <w:jc w:val="both"/>
              <w:rPr>
                <w:b/>
                <w:i/>
              </w:rPr>
            </w:pPr>
            <w:r>
              <w:rPr>
                <w:b/>
                <w:i/>
              </w:rPr>
              <w:t>Risk factors</w:t>
            </w:r>
          </w:p>
        </w:tc>
        <w:tc>
          <w:tcPr>
            <w:tcW w:w="8621" w:type="dxa"/>
            <w:tcBorders/>
            <w:vAlign w:val="center"/>
          </w:tcPr>
          <w:p>
            <w:pPr>
              <w:pStyle w:val="TableContents"/>
              <w:bidi w:val="0"/>
              <w:spacing w:before="0" w:after="283"/>
              <w:ind w:left="0" w:right="0" w:hanging="180"/>
              <w:jc w:val="both"/>
              <w:rPr/>
            </w:pPr>
            <w:r>
              <w:rPr/>
              <w:t>You should read the “Risk Factors” section of this prospectus for a discussion of factors to consider carefully before deciding to invest in shares of our common stock.</w:t>
            </w:r>
          </w:p>
        </w:tc>
      </w:tr>
      <w:tr>
        <w:trPr/>
        <w:tc>
          <w:tcPr>
            <w:tcW w:w="1584" w:type="dxa"/>
            <w:tcBorders/>
            <w:vAlign w:val="center"/>
          </w:tcPr>
          <w:p>
            <w:pPr>
              <w:pStyle w:val="TableContents"/>
              <w:bidi w:val="0"/>
              <w:spacing w:before="0" w:after="283"/>
              <w:jc w:val="both"/>
              <w:rPr/>
            </w:pPr>
            <w:r>
              <w:rPr/>
              <w:t> </w:t>
            </w:r>
          </w:p>
        </w:tc>
        <w:tc>
          <w:tcPr>
            <w:tcW w:w="8621" w:type="dxa"/>
            <w:tcBorders/>
            <w:vAlign w:val="center"/>
          </w:tcPr>
          <w:p>
            <w:pPr>
              <w:pStyle w:val="TableContents"/>
              <w:bidi w:val="0"/>
              <w:spacing w:before="0" w:after="283"/>
              <w:ind w:left="0" w:right="0" w:hanging="180"/>
              <w:jc w:val="both"/>
              <w:rPr/>
            </w:pPr>
            <w:r>
              <w:rPr/>
              <w:t> </w:t>
            </w:r>
          </w:p>
        </w:tc>
      </w:tr>
      <w:tr>
        <w:trPr/>
        <w:tc>
          <w:tcPr>
            <w:tcW w:w="1584" w:type="dxa"/>
            <w:tcBorders/>
            <w:vAlign w:val="center"/>
          </w:tcPr>
          <w:p>
            <w:pPr>
              <w:pStyle w:val="TableContents"/>
              <w:bidi w:val="0"/>
              <w:spacing w:before="0" w:after="283"/>
              <w:jc w:val="both"/>
              <w:rPr>
                <w:b/>
                <w:i/>
              </w:rPr>
            </w:pPr>
            <w:r>
              <w:rPr>
                <w:b/>
                <w:i/>
              </w:rPr>
              <w:t>Market for our shares</w:t>
            </w:r>
          </w:p>
        </w:tc>
        <w:tc>
          <w:tcPr>
            <w:tcW w:w="8621" w:type="dxa"/>
            <w:tcBorders/>
            <w:vAlign w:val="center"/>
          </w:tcPr>
          <w:p>
            <w:pPr>
              <w:pStyle w:val="TableContents"/>
              <w:bidi w:val="0"/>
              <w:spacing w:before="0" w:after="283"/>
              <w:jc w:val="both"/>
              <w:rPr/>
            </w:pPr>
            <w:r>
              <w:rPr/>
              <w:t>There is not now and never has been any market for our securities and an active market may never develop. We have arranged for a broker-dealer to apply to have our common stock quoted on the OTCQB or another over-the-counter system. In the future, we intend to seek to have the common stock listed on a national securities exchange. However, we may not be successful in having our shares quoted on an over-the-counter market or listed on a national securities exchange.</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number of shares of common stock outstanding is based on an aggregate of 24,832,814 shares outstanding as of November 17, 2023 but excludes: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1,594,800 shares of common stock issuable upon the exercise of stock options outstanding that were subject to options originally granted under the Serve’s 2021 Stock Plan, with a weighted-average exercise price of $0.61 per share;</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pPr>
            <w:r>
              <w:rPr/>
              <w:t>outstanding Bridge Warrants to purchase an aggregate of 468,971 shares of our common stock;</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both"/>
              <w:rPr/>
            </w:pPr>
            <w:r>
              <w:rPr/>
              <w:t>outstanding Bridge Broker Warrants to purchase an aggregate of 74,662 shares of our common stock;</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outstanding Placement Agent A Warrants (defined below) to purchase an aggregate of 153,909 shares of our common stock;</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outstanding Placement Agent B Warrants (defined below) to purchase an aggregate of 250,000 shares of our common stock; and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outstanding warrants to purchase an aggregate of 142,730 shares of our common stock assumed by us in connection with the Merger.</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7" w:name="r_006"/>
      <w:bookmarkEnd w:id="7"/>
      <w:r>
        <w:rPr>
          <w:rFonts w:ascii="Times New Roman;Times;Serif" w:hAnsi="Times New Roman;Times;Serif"/>
          <w:b/>
          <w:i w:val="false"/>
          <w:caps/>
          <w:sz w:val="20"/>
          <w:bdr w:val="single" w:sz="12" w:space="1" w:color="000000"/>
        </w:rPr>
        <w:t>SUMMARY FINANCIAL DATA</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tables set forth summary financial data as of, and for the nine months ended, September 30, 2023 and 2022, and as of, and for the years ended, December 31, 2022 and 2021 and should be read together with our consolidated financial statements and the related notes, as well as the sections of this prospectus entitled “Risk Factors” and “Management’s Discussion and Analysis of Financial Condition and Results of Operations” appearing elsewhere in this prospectus. The summary financial data in this section is not intended to replace our financial statements and related notes. The summary consolidated financial data as of, and for the nine months ended, September 30, 2023 and 2022 are derived from our unaudited consolidated financial statements included elsewhere in this prospectus. In our opinion, these unaudited consolidated financial statements have been prepared on a basis consistent with our audited financial statements and contain all adjustments, consisting only of normal and recurring adjustments, necessary for a fair presentation of such consolidated financial data. The summary financial data as of, and for the years ended, December 31, 2022 and 2021 are derived from our audited financial statements included elsewhere in this prospectus. Our historical results are not necessarily indicative of our future results, and our operating results for the nine-month period ended September 30, 2023 are not necessarily indicative of the results that may be expected for the fiscal year ending December 31, 2023 or any other interim periods or any future year or period. See Unaudited Pro Forma Combined Financial Statements reflecting the effect of the Merger on page F-43.</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995"/>
        <w:gridCol w:w="60"/>
        <w:gridCol w:w="155"/>
        <w:gridCol w:w="1304"/>
        <w:gridCol w:w="95"/>
        <w:gridCol w:w="60"/>
        <w:gridCol w:w="155"/>
        <w:gridCol w:w="1304"/>
        <w:gridCol w:w="95"/>
        <w:gridCol w:w="60"/>
        <w:gridCol w:w="169"/>
        <w:gridCol w:w="1427"/>
        <w:gridCol w:w="95"/>
        <w:gridCol w:w="60"/>
        <w:gridCol w:w="278"/>
        <w:gridCol w:w="1779"/>
        <w:gridCol w:w="114"/>
      </w:tblGrid>
      <w:tr>
        <w:trPr/>
        <w:tc>
          <w:tcPr>
            <w:tcW w:w="299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3073" w:type="dxa"/>
            <w:gridSpan w:val="6"/>
            <w:tcBorders/>
            <w:vAlign w:val="center"/>
          </w:tcPr>
          <w:p>
            <w:pPr>
              <w:pStyle w:val="TableContents"/>
              <w:bidi w:val="0"/>
              <w:spacing w:before="0" w:after="283"/>
              <w:jc w:val="center"/>
              <w:rPr>
                <w:b/>
              </w:rPr>
            </w:pPr>
            <w:r>
              <w:rPr>
                <w:b/>
              </w:rPr>
              <w:t>Nine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6"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57" w:type="dxa"/>
            <w:gridSpan w:val="2"/>
            <w:tcBorders/>
            <w:vAlign w:val="center"/>
          </w:tcPr>
          <w:p>
            <w:pPr>
              <w:pStyle w:val="TableContents"/>
              <w:bidi w:val="0"/>
              <w:spacing w:before="0" w:after="283"/>
              <w:jc w:val="center"/>
              <w:rPr>
                <w:b/>
              </w:rPr>
            </w:pPr>
            <w:r>
              <w:rPr>
                <w:b/>
              </w:rPr>
              <w:t>For the period from January 15,</w:t>
              <w:br/>
              <w:t>2021</w:t>
            </w:r>
          </w:p>
        </w:tc>
        <w:tc>
          <w:tcPr>
            <w:tcW w:w="114" w:type="dxa"/>
            <w:tcBorders/>
            <w:vAlign w:val="center"/>
          </w:tcPr>
          <w:p>
            <w:pPr>
              <w:pStyle w:val="TableContents"/>
              <w:bidi w:val="0"/>
              <w:spacing w:before="0" w:after="283"/>
              <w:ind w:left="0" w:right="0" w:hanging="180"/>
              <w:jc w:val="center"/>
              <w:rPr/>
            </w:pPr>
            <w:r>
              <w:rPr/>
              <w:t> </w:t>
            </w:r>
          </w:p>
        </w:tc>
      </w:tr>
      <w:tr>
        <w:trPr/>
        <w:tc>
          <w:tcPr>
            <w:tcW w:w="2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6" w:type="dxa"/>
            <w:gridSpan w:val="2"/>
            <w:tcBorders/>
            <w:vAlign w:val="center"/>
          </w:tcPr>
          <w:p>
            <w:pPr>
              <w:pStyle w:val="TableContents"/>
              <w:bidi w:val="0"/>
              <w:spacing w:before="0" w:after="283"/>
              <w:jc w:val="center"/>
              <w:rPr>
                <w:b/>
              </w:rPr>
            </w:pPr>
            <w:r>
              <w:rPr>
                <w:b/>
              </w:rPr>
              <w:t>Year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57" w:type="dxa"/>
            <w:gridSpan w:val="2"/>
            <w:tcBorders/>
            <w:vAlign w:val="center"/>
          </w:tcPr>
          <w:p>
            <w:pPr>
              <w:pStyle w:val="TableContents"/>
              <w:bidi w:val="0"/>
              <w:spacing w:before="0" w:after="283"/>
              <w:jc w:val="center"/>
              <w:rPr>
                <w:b/>
              </w:rPr>
            </w:pPr>
            <w:r>
              <w:rPr>
                <w:b/>
              </w:rPr>
              <w:t>(inception) to,</w:t>
            </w:r>
          </w:p>
        </w:tc>
        <w:tc>
          <w:tcPr>
            <w:tcW w:w="114" w:type="dxa"/>
            <w:tcBorders/>
            <w:vAlign w:val="center"/>
          </w:tcPr>
          <w:p>
            <w:pPr>
              <w:pStyle w:val="TableContents"/>
              <w:bidi w:val="0"/>
              <w:spacing w:before="0" w:after="283"/>
              <w:ind w:left="0" w:right="0" w:hanging="180"/>
              <w:jc w:val="center"/>
              <w:rPr/>
            </w:pPr>
            <w:r>
              <w:rPr/>
              <w:t> </w:t>
            </w:r>
          </w:p>
        </w:tc>
      </w:tr>
      <w:tr>
        <w:trPr/>
        <w:tc>
          <w:tcPr>
            <w:tcW w:w="2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 (unaudited)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 (unaudited)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2021</w:t>
            </w:r>
          </w:p>
        </w:tc>
        <w:tc>
          <w:tcPr>
            <w:tcW w:w="114" w:type="dxa"/>
            <w:tcBorders/>
            <w:vAlign w:val="center"/>
          </w:tcPr>
          <w:p>
            <w:pPr>
              <w:pStyle w:val="TableContents"/>
              <w:bidi w:val="0"/>
              <w:spacing w:before="0" w:after="283"/>
              <w:ind w:left="0" w:right="0" w:hanging="180"/>
              <w:jc w:val="center"/>
              <w:rPr/>
            </w:pPr>
            <w:r>
              <w:rPr/>
              <w:t> </w:t>
            </w:r>
          </w:p>
        </w:tc>
      </w:tr>
      <w:tr>
        <w:trPr/>
        <w:tc>
          <w:tcPr>
            <w:tcW w:w="2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164,826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60,689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427" w:type="dxa"/>
            <w:tcBorders/>
            <w:shd w:fill="CCEEFF" w:val="clear"/>
            <w:vAlign w:val="center"/>
          </w:tcPr>
          <w:p>
            <w:pPr>
              <w:pStyle w:val="TableContents"/>
              <w:bidi w:val="0"/>
              <w:spacing w:before="0" w:after="283"/>
              <w:jc w:val="right"/>
              <w:rPr/>
            </w:pPr>
            <w:r>
              <w:rPr/>
              <w:t>107,819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779" w:type="dxa"/>
            <w:tcBorders/>
            <w:shd w:fill="CCEEFF" w:val="clear"/>
            <w:vAlign w:val="center"/>
          </w:tcPr>
          <w:p>
            <w:pPr>
              <w:pStyle w:val="TableContents"/>
              <w:bidi w:val="0"/>
              <w:spacing w:before="0" w:after="283"/>
              <w:jc w:val="right"/>
              <w:rPr>
                <w:sz w:val="20"/>
              </w:rPr>
            </w:pPr>
            <w:r>
              <w:rPr>
                <w:sz w:val="20"/>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1,331,165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721,198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7" w:type="dxa"/>
            <w:tcBorders>
              <w:bottom w:val="single" w:sz="12" w:space="0" w:color="000000"/>
            </w:tcBorders>
            <w:shd w:fill="FFFFFF" w:val="clear"/>
            <w:tcMar>
              <w:bottom w:w="28" w:type="dxa"/>
            </w:tcMar>
            <w:vAlign w:val="center"/>
          </w:tcPr>
          <w:p>
            <w:pPr>
              <w:pStyle w:val="TableContents"/>
              <w:bidi w:val="0"/>
              <w:spacing w:before="0" w:after="283"/>
              <w:jc w:val="right"/>
              <w:rPr/>
            </w:pPr>
            <w:r>
              <w:rPr/>
              <w:t>1,148,426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7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(1,166,339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(660,509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(1,040,607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3,414,949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2,666,005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3,786,124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pPr>
            <w:r>
              <w:rPr/>
              <w:t>2,465,570</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1,672,403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1,555,841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2,035,063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924,501</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7,171,446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9,275,252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13,565,765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pPr>
            <w:r>
              <w:rPr/>
              <w:t>7,092,628</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481,511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398,635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7" w:type="dxa"/>
            <w:tcBorders>
              <w:bottom w:val="single" w:sz="12" w:space="0" w:color="000000"/>
            </w:tcBorders>
            <w:shd w:fill="CCEEFF" w:val="clear"/>
            <w:tcMar>
              <w:bottom w:w="28" w:type="dxa"/>
            </w:tcMar>
            <w:vAlign w:val="center"/>
          </w:tcPr>
          <w:p>
            <w:pPr>
              <w:pStyle w:val="TableContents"/>
              <w:bidi w:val="0"/>
              <w:spacing w:before="0" w:after="283"/>
              <w:jc w:val="right"/>
              <w:rPr/>
            </w:pPr>
            <w:r>
              <w:rPr/>
              <w:t>525,494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9" w:type="dxa"/>
            <w:tcBorders>
              <w:bottom w:val="single" w:sz="12" w:space="0" w:color="000000"/>
            </w:tcBorders>
            <w:shd w:fill="CCEEFF" w:val="clear"/>
            <w:tcMar>
              <w:bottom w:w="28" w:type="dxa"/>
            </w:tcMar>
            <w:vAlign w:val="center"/>
          </w:tcPr>
          <w:p>
            <w:pPr>
              <w:pStyle w:val="TableContents"/>
              <w:bidi w:val="0"/>
              <w:spacing w:before="0" w:after="283"/>
              <w:jc w:val="right"/>
              <w:rPr/>
            </w:pPr>
            <w:r>
              <w:rPr/>
              <w:t>139,664</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12,740,309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13,895,733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19,912,446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pPr>
            <w:r>
              <w:rPr/>
              <w:t>10,622,363</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(13,906,648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(14,556,242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(20,953,053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pPr>
            <w:r>
              <w:rPr/>
              <w:t>(10,622,363</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2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(2,021,996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(49,028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(636,330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(149,000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7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Change in fair value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4,506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7" w:type="dxa"/>
            <w:tcBorders>
              <w:bottom w:val="single" w:sz="12" w:space="0" w:color="000000"/>
            </w:tcBorders>
            <w:shd w:fill="CCEEFF" w:val="clear"/>
            <w:tcMar>
              <w:bottom w:w="28" w:type="dxa"/>
            </w:tcMar>
            <w:vAlign w:val="center"/>
          </w:tcPr>
          <w:p>
            <w:pPr>
              <w:pStyle w:val="TableContents"/>
              <w:bidi w:val="0"/>
              <w:spacing w:before="0" w:after="283"/>
              <w:jc w:val="right"/>
              <w:rPr/>
            </w:pPr>
            <w:r>
              <w:rPr/>
              <w:t>(265,744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9" w:type="dxa"/>
            <w:tcBorders>
              <w:bottom w:val="single" w:sz="12" w:space="0" w:color="000000"/>
            </w:tcBorders>
            <w:shd w:fill="CCEEFF" w:val="clear"/>
            <w:tcMar>
              <w:bottom w:w="28" w:type="dxa"/>
            </w:tcMar>
            <w:vAlign w:val="center"/>
          </w:tcPr>
          <w:p>
            <w:pPr>
              <w:pStyle w:val="TableContents"/>
              <w:bidi w:val="0"/>
              <w:spacing w:before="0" w:after="283"/>
              <w:jc w:val="right"/>
              <w:rPr/>
            </w:pPr>
            <w:r>
              <w:rPr/>
              <w:t>(11,043,155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299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(3,843,702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(44,522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(902,074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pPr>
            <w:r>
              <w:rPr/>
              <w:t>(11,043,155</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2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7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(17,750,350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(14,600,764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27" w:type="dxa"/>
            <w:tcBorders>
              <w:bottom w:val="single" w:sz="12" w:space="0" w:color="000000"/>
            </w:tcBorders>
            <w:shd w:fill="CCEEFF" w:val="clear"/>
            <w:tcMar>
              <w:bottom w:w="28" w:type="dxa"/>
            </w:tcMar>
            <w:vAlign w:val="center"/>
          </w:tcPr>
          <w:p>
            <w:pPr>
              <w:pStyle w:val="TableContents"/>
              <w:bidi w:val="0"/>
              <w:spacing w:before="0" w:after="283"/>
              <w:jc w:val="right"/>
              <w:rPr/>
            </w:pPr>
            <w:r>
              <w:rPr/>
              <w:t>(21,855,127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779" w:type="dxa"/>
            <w:tcBorders>
              <w:bottom w:val="single" w:sz="12" w:space="0" w:color="000000"/>
            </w:tcBorders>
            <w:shd w:fill="CCEEFF" w:val="clear"/>
            <w:tcMar>
              <w:bottom w:w="28" w:type="dxa"/>
            </w:tcMar>
            <w:vAlign w:val="center"/>
          </w:tcPr>
          <w:p>
            <w:pPr>
              <w:pStyle w:val="TableContents"/>
              <w:bidi w:val="0"/>
              <w:spacing w:before="0" w:after="283"/>
              <w:jc w:val="right"/>
              <w:rPr/>
            </w:pPr>
            <w:r>
              <w:rPr/>
              <w:t>(21,665,518</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995" w:type="dxa"/>
            <w:tcBorders/>
            <w:shd w:fill="CCEEFF" w:val="clear"/>
            <w:vAlign w:val="center"/>
          </w:tcPr>
          <w:p>
            <w:pPr>
              <w:pStyle w:val="TableContents"/>
              <w:bidi w:val="0"/>
              <w:spacing w:before="0" w:after="283"/>
              <w:jc w:val="left"/>
              <w:rPr/>
            </w:pPr>
            <w:r>
              <w:rPr/>
              <w:t>Weighted average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10,674,991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6,990,773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7" w:type="dxa"/>
            <w:tcBorders>
              <w:bottom w:val="single" w:sz="12" w:space="0" w:color="000000"/>
            </w:tcBorders>
            <w:shd w:fill="CCEEFF" w:val="clear"/>
            <w:tcMar>
              <w:bottom w:w="28" w:type="dxa"/>
            </w:tcMar>
            <w:vAlign w:val="center"/>
          </w:tcPr>
          <w:p>
            <w:pPr>
              <w:pStyle w:val="TableContents"/>
              <w:bidi w:val="0"/>
              <w:spacing w:before="0" w:after="283"/>
              <w:jc w:val="right"/>
              <w:rPr/>
            </w:pPr>
            <w:r>
              <w:rPr/>
              <w:t>6,896,769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9" w:type="dxa"/>
            <w:tcBorders>
              <w:bottom w:val="single" w:sz="12" w:space="0" w:color="000000"/>
            </w:tcBorders>
            <w:shd w:fill="CCEEFF" w:val="clear"/>
            <w:tcMar>
              <w:bottom w:w="28" w:type="dxa"/>
            </w:tcMar>
            <w:vAlign w:val="center"/>
          </w:tcPr>
          <w:p>
            <w:pPr>
              <w:pStyle w:val="TableContents"/>
              <w:bidi w:val="0"/>
              <w:spacing w:before="0" w:after="283"/>
              <w:jc w:val="right"/>
              <w:rPr/>
            </w:pPr>
            <w:r>
              <w:rPr/>
              <w:t>5,622,548</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995" w:type="dxa"/>
            <w:tcBorders/>
            <w:shd w:fill="FFFFFF" w:val="clear"/>
            <w:vAlign w:val="center"/>
          </w:tcPr>
          <w:p>
            <w:pPr>
              <w:pStyle w:val="TableContents"/>
              <w:bidi w:val="0"/>
              <w:spacing w:before="0" w:after="283"/>
              <w:jc w:val="left"/>
              <w:rPr/>
            </w:pPr>
            <w:r>
              <w:rPr/>
              <w:t>Net loss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(2.09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27" w:type="dxa"/>
            <w:tcBorders>
              <w:bottom w:val="single" w:sz="12" w:space="0" w:color="000000"/>
            </w:tcBorders>
            <w:shd w:fill="FFFFFF" w:val="clear"/>
            <w:tcMar>
              <w:bottom w:w="28" w:type="dxa"/>
            </w:tcMar>
            <w:vAlign w:val="center"/>
          </w:tcPr>
          <w:p>
            <w:pPr>
              <w:pStyle w:val="TableContents"/>
              <w:bidi w:val="0"/>
              <w:spacing w:before="0" w:after="283"/>
              <w:jc w:val="right"/>
              <w:rPr/>
            </w:pPr>
            <w:r>
              <w:rPr/>
              <w:t>(3.17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779" w:type="dxa"/>
            <w:tcBorders>
              <w:bottom w:val="single" w:sz="12" w:space="0" w:color="000000"/>
            </w:tcBorders>
            <w:shd w:fill="FFFFFF" w:val="clear"/>
            <w:tcMar>
              <w:bottom w:w="28" w:type="dxa"/>
            </w:tcMar>
            <w:vAlign w:val="center"/>
          </w:tcPr>
          <w:p>
            <w:pPr>
              <w:pStyle w:val="TableContents"/>
              <w:bidi w:val="0"/>
              <w:spacing w:before="0" w:after="283"/>
              <w:jc w:val="right"/>
              <w:rPr/>
            </w:pPr>
            <w:r>
              <w:rPr/>
              <w:t>(3.85</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5395"/>
        <w:gridCol w:w="60"/>
        <w:gridCol w:w="160"/>
        <w:gridCol w:w="1352"/>
        <w:gridCol w:w="95"/>
        <w:gridCol w:w="60"/>
        <w:gridCol w:w="150"/>
        <w:gridCol w:w="1272"/>
        <w:gridCol w:w="95"/>
        <w:gridCol w:w="60"/>
        <w:gridCol w:w="150"/>
        <w:gridCol w:w="1272"/>
        <w:gridCol w:w="84"/>
      </w:tblGrid>
      <w:tr>
        <w:trPr/>
        <w:tc>
          <w:tcPr>
            <w:tcW w:w="5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2023 (unaudited)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2021</w:t>
            </w:r>
          </w:p>
        </w:tc>
        <w:tc>
          <w:tcPr>
            <w:tcW w:w="84" w:type="dxa"/>
            <w:tcBorders/>
            <w:vAlign w:val="center"/>
          </w:tcPr>
          <w:p>
            <w:pPr>
              <w:pStyle w:val="TableContents"/>
              <w:bidi w:val="0"/>
              <w:spacing w:before="0" w:after="283"/>
              <w:ind w:left="0" w:right="0" w:hanging="180"/>
              <w:jc w:val="center"/>
              <w:rPr/>
            </w:pPr>
            <w:r>
              <w:rPr/>
              <w:t> </w:t>
            </w:r>
          </w:p>
        </w:tc>
      </w:tr>
      <w:tr>
        <w:trPr/>
        <w:tc>
          <w:tcPr>
            <w:tcW w:w="539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2"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539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2"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52" w:type="dxa"/>
            <w:tcBorders/>
            <w:shd w:fill="CCEEFF" w:val="clear"/>
            <w:vAlign w:val="center"/>
          </w:tcPr>
          <w:p>
            <w:pPr>
              <w:pStyle w:val="TableContents"/>
              <w:bidi w:val="0"/>
              <w:spacing w:before="0" w:after="283"/>
              <w:jc w:val="right"/>
              <w:rPr/>
            </w:pPr>
            <w:r>
              <w:rPr/>
              <w:t>3,502,140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2,715,719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7,965,861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3,955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23,697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868,721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618,262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463,422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750,072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81,339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11,163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5,124,888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3,439,017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8,440,446</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1,982,001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3,376,427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119,616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Right of use asset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894,127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1,215,968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512,659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512,659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96,647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8,513,675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8,544,071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8,656,709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1352" w:type="dxa"/>
            <w:tcBorders/>
            <w:shd w:fill="FFFFFF" w:val="clear"/>
            <w:vAlign w:val="center"/>
          </w:tcPr>
          <w:p>
            <w:pPr>
              <w:pStyle w:val="TableContents"/>
              <w:bidi w:val="0"/>
              <w:spacing w:before="0" w:after="283"/>
              <w:jc w:val="right"/>
              <w:rPr/>
            </w:pPr>
            <w:r>
              <w:rPr/>
              <w:t>944,487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72" w:type="dxa"/>
            <w:tcBorders/>
            <w:shd w:fill="FFFFFF" w:val="clear"/>
            <w:vAlign w:val="center"/>
          </w:tcPr>
          <w:p>
            <w:pPr>
              <w:pStyle w:val="TableContents"/>
              <w:bidi w:val="0"/>
              <w:spacing w:before="0" w:after="283"/>
              <w:jc w:val="right"/>
              <w:rPr/>
            </w:pPr>
            <w:r>
              <w:rPr/>
              <w:t>162,034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72" w:type="dxa"/>
            <w:tcBorders/>
            <w:shd w:fill="FFFFFF" w:val="clear"/>
            <w:vAlign w:val="center"/>
          </w:tcPr>
          <w:p>
            <w:pPr>
              <w:pStyle w:val="TableContents"/>
              <w:bidi w:val="0"/>
              <w:spacing w:before="0" w:after="283"/>
              <w:jc w:val="right"/>
              <w:rPr/>
            </w:pPr>
            <w:r>
              <w:rPr/>
              <w:t>336,314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159,648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37,434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Note payable, current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Note payable - related party, net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151,500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Right of use liability, current portion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518,877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483,186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2,081,882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2,214,348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4,856,394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3,897,002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336,314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Note payable, net of current portion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476,850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1,214,600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Simple agreements for future equity</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13,150,745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Restricted stock award liability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159,716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162,747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Right of use liability</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314,829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708,143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337,087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1,862,980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6,144,876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20,996,217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336,314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Series Seed preferred stock, $0.0001 par value; 4,008,079 shares authorized, 0, 3,091,672 and 2,834,033 shares issued and outstanding as of September 30, 2023, December 31, 2022 and December 31, 2021, respectively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283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Series Seed-1 preferred stock, $0.0001 par value; 3,037,227 shares authorized, 0, 2,440,411 and 2,440,411 shares issued and outstanding as of September 30, 2023, December 31, 2022 and December 31, 2021</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244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Series Seed-2 preferred stock, $0.0001 par value; 2,599,497 shares authorized, 0, 2,088,696 and 2,088,696 shares issued and outstanding as of September 30, 2023, December 31, 2022 and December 31, 2021</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209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Series Seed-3 preferred stock, $0.0001 par value; 445,347 shares authorized, 0, 357,836 and 357,836 shares issued and outstanding as of September 30, 2023, December 31, 2022 and December 31, 2021</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sz w:val="20"/>
              </w:rPr>
            </w:pPr>
            <w:r>
              <w:rPr>
                <w:sz w:val="20"/>
              </w:rPr>
              <w:t xml:space="preserve">36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36</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Common stock, $0.0001 par value; 300,000,000 shares authorized, 24,689,283, 7,161,654 and 7,111,123 shares issued and 24,362,444, 6,826,352 and 7,111,123 shares outstanding as of September 30, 2023, December 31, 2022 and December 31, 2021, respectively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2,436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711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63,805,874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31,232,737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29,984,430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395"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(168,516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(165,719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(61,270,995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(43,520,645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(21,665,518</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5395"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2,368,799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(12,452,146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8,320,395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395" w:type="dxa"/>
            <w:tcBorders/>
            <w:shd w:fill="FFFFFF" w:val="clear"/>
            <w:vAlign w:val="center"/>
          </w:tcPr>
          <w:p>
            <w:pPr>
              <w:pStyle w:val="TableContents"/>
              <w:bidi w:val="0"/>
              <w:spacing w:before="0" w:after="283"/>
              <w:jc w:val="left"/>
              <w:rPr/>
            </w:pPr>
            <w:r>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8,513,675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8,544,071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8,656,709</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r_007"/>
      <w:bookmarkEnd w:id="8"/>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a high degree of risk. In addition to the other information set forth in this prospectus, you should carefully consider the risk factors discussed below when considering an investment in our common stock and any risk factors that may be set forth in the applicable prospectus supplement, any related free writing prospectus, as well as the other information contained in this prospectus, any applicable prospectus supplement, and any related free writing prospectus. If any of the following risks occur, our business, financial condition, results of operations, and prospects could be materially and adversely affected. In that case, the market price of our common stock could decline, and you could lose some or all of your investment. Additional risks and uncertainties not presently known to us or that we currently deem immaterial also may impair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Summary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Because we are an early-stage company with minimal revenue and a history of losses and we expect to continue to incur substantial losses for the foreseeable future, we cannot assure you that we can or will be able to operate profitably.</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We have a limited operating history, which may make it difficult to evaluate our business and prospects.</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effectively manage our growth, we may not be able to design, develop, manufacture, market and launch new generations of our robotic systems successfully.</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pPr>
            <w:r>
              <w:rPr/>
              <w:t>A significant portion of our revenue is concentrated with one customer.</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future revenue plans rely on partnering with third party delivery platforms, brand sponsors and/or direct sales to merchants.</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Failure of our service providers or disruptions to our outsourcing relationships might negatively impact our ability to conduct our business.</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robots operate in public spaces and any errors caused by human supervisors, network connectivity issues, third-party software, or automation may adversely affect our commercial relationships.</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robots rely on sophisticated software technology that incorporate third-party components and networks to operate, and the inability to maintain licenses for these software technology, errors in the software we license or the terms of open-source licenses could result in increased costs or reduced service levels, which would adversely affect our business.</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benefit of our products could be supplanted by other technologies or solutions or competitors’ products that utilize similar technology to ours in a more effective way.</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have limited experience commercializing our products at a large scale and may not be able to do so efficiently or effectively.</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substantially reliant on our relationships with suppliers and service providers for the parts and components in our robots, as well as for the manufacture of our robots. If any of these suppliers or service partners choose to not do business with us, then we would have significant difficulty in procuring and producing our robots and our business prospects would be significantly harmed.</w:t>
            </w:r>
          </w:p>
        </w:tc>
      </w:tr>
    </w:tbl>
    <w:p>
      <w:pPr>
        <w:pStyle w:val="TextBody"/>
        <w:bidi w:val="0"/>
        <w:spacing w:before="0" w:after="0"/>
        <w:ind w:left="72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evolving regulations around personal delivery devices (“PDDs”) could materially impact our business and growth prospects in new markets.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Defects, glitches, or malfunctions in our products or the software that operates them, failure of our products to perform as expected, connectivity issues or operator errors may result in product recalls, lower than expected return on investment for customers and cause significant safety concerns, each of which could adversely affect our results of operations, financial condition and our reputation.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Even if our products perform properly and are used as intended, if operators sustain any injuries while using our products, we could be exposed to liability and our results of operations, financial condition, and our reputation may be adversely affected.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operate in a competitive industry that is subject to rapid technological change, and competitors may have or attain more resources and/or greater market recognition than we do.</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the Company cannot protect, maintain and, if necessary, enforce its intellectual property rights, its ability to develop and commercialize products will be adversely impacted.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Security breaches and other disruptions could compromise our proprietary information and expose us to liability, which would cause our business and reputation to suffer.</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business plans require a significant amount of capital. Our future capital needs may require us to sell additional equity or debt securities that may dilute our stockholders or contain terms unfavorable to us or our investors.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will be required to raise additional capital in order to develop our technology and scale our commercial delivery operations. However, we may be unable to raise additional capital needed to fund and grow our business.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use of the Internet via websites, mobile devices and other platforms, particularly with respect to online food ordering, does not continue, our business and growth prospects will be harmed.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products and services are disruptive to the delivery services industries, and important assumptions about the market demand, pricing, adoption rates and sales cycle, for our current and future products and services may be inaccurate.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Even if we successfully market our products and services, the purchase or subscription, adoption and use of the products and services may be materially and negatively impacted if our customers resist the use and adoption of the products and services.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systems, products, technologies and services and related equipment may have shorter useful lives than we anticipate.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any manufacturing partners, and suppliers may rely on complex machinery for production, which involves a significant degree of risk and uncertainty in terms of operational performance and costs.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19"/>
        <w:gridCol w:w="9937"/>
      </w:tblGrid>
      <w:tr>
        <w:trPr/>
        <w:tc>
          <w:tcPr>
            <w:tcW w:w="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be unable to adequately control the costs associated with our operations.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manufacture products of sufficient quality on schedule in the future is uncertain, and delays in the design, production and launch of our products could harm our business, prospects, financial condition and operating results.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subject to cybersecurity risks to our operational systems, security systems, infrastructure, integrated software in our products and data processed by us or third-party vendors.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shares of common stock issued in the Merger and the Private Placement, which are being registered and offered for resale, are “restricted securities” and, as such, may not be sold except in limited circumstances.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There is currently no market for our common stock and there can be no assurance that any market will ever develop. You may therefore be unable to re-sell shares of our common stock at times and prices that you believe are appropriate.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do not intend to pay dividends for the foreseeable future and, as a result, your ability to achieve a return on your investment will depend on appreciation in the price of our common stock.</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an early-stage company with minimal revenue and a history of losses and we expect to continue to incur substantial losses for the foreseeable future, we cannot assure you that we can or will be able to operate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profitable to date, and we expect operating losses for the near future. During the nine months ended September 30, 2023, we generated $0.16 million in revenue and incurred a net loss of $17.75 million. During the years ended December 31, 2022 and 2021, we generated revenue of $0.11 million and $0, respectively, and we incurred net losses of approximately $21.86 million and $21.67 million, respectively.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which may make it difficult to evaluate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risks associated with businesses in their early stages, with limited operating histories and whose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auditor has issued a “going concern” opinion</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has issued a “going concern” opinion on our financial statements, which means they are not sure that we will be able to succeed as a business without additional financing. As of December 31, 2022, the date of our last audited financial statements, we generated $0.11 million in revenue. We had sustained a net loss of $21.86 million and had an accumulated deficit of $43.52 million. Our ability to continue as a going concern until we reach profitability is dependent upon our ability to generate cash from operating activities and to raise additional capital to fund our operations. While we were successful in raising a cumulative total of approximately $58.17 million in debt and equity financing through November 17, 2023, our ongoing operational expenses are now approximately $1.71 million per month without yet generating any material corresponding revenue. Our failure to raise additional capital could have a negative impact on not only our financial condition but also our ability to execute our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we may not be able to design, develop, manufacture, market, and launch new generations of our robotic systems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both"/>
              <w:rPr>
                <w:sz w:val="20"/>
              </w:rPr>
            </w:pPr>
            <w:r>
              <w:rPr>
                <w:sz w:val="20"/>
              </w:rPr>
              <w:t>expanding the management, engineering, and product teams;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sz w:val="20"/>
              </w:rPr>
            </w:pPr>
            <w:r>
              <w:rPr>
                <w:sz w:val="20"/>
              </w:rPr>
              <w:t>identifying and recruiting individuals with the appropriate relevant experience;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69"/>
        <w:gridCol w:w="9509"/>
      </w:tblGrid>
      <w:tr>
        <w:trPr/>
        <w:tc>
          <w:tcPr>
            <w:tcW w:w="12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pPr>
            <w:r>
              <w:rPr/>
              <w:t>●</w:t>
            </w:r>
          </w:p>
        </w:tc>
        <w:tc>
          <w:tcPr>
            <w:tcW w:w="9509" w:type="dxa"/>
            <w:tcBorders/>
            <w:vAlign w:val="center"/>
          </w:tcPr>
          <w:p>
            <w:pPr>
              <w:pStyle w:val="TableContents"/>
              <w:bidi w:val="0"/>
              <w:spacing w:before="0" w:after="283"/>
              <w:jc w:val="both"/>
              <w:rPr>
                <w:sz w:val="20"/>
              </w:rPr>
            </w:pPr>
            <w:r>
              <w:rPr>
                <w:sz w:val="20"/>
              </w:rPr>
              <w:t>hiring and training new personnel;</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sz w:val="20"/>
              </w:rPr>
            </w:pPr>
            <w:r>
              <w:rPr>
                <w:sz w:val="20"/>
              </w:rPr>
              <w:t>launching commercialization of new products and services;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5"/>
        <w:gridCol w:w="9539"/>
      </w:tblGrid>
      <w:tr>
        <w:trPr/>
        <w:tc>
          <w:tcPr>
            <w:tcW w:w="1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w:t>
            </w:r>
          </w:p>
        </w:tc>
        <w:tc>
          <w:tcPr>
            <w:tcW w:w="9539" w:type="dxa"/>
            <w:tcBorders/>
            <w:vAlign w:val="center"/>
          </w:tcPr>
          <w:p>
            <w:pPr>
              <w:pStyle w:val="TableContents"/>
              <w:bidi w:val="0"/>
              <w:spacing w:before="0" w:after="283"/>
              <w:jc w:val="both"/>
              <w:rPr>
                <w:sz w:val="20"/>
              </w:rPr>
            </w:pPr>
            <w:r>
              <w:rPr>
                <w:sz w:val="20"/>
              </w:rPr>
              <w:t>forecasting production and revenue;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entering into relationships with one or more third-party design for manufacturing partners and third-party contract manufacturers and/or expanding our internal manufacturing capabilities;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4"/>
        <w:gridCol w:w="9882"/>
      </w:tblGrid>
      <w:tr>
        <w:trPr/>
        <w:tc>
          <w:tcPr>
            <w:tcW w:w="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sz w:val="20"/>
              </w:rPr>
            </w:pPr>
            <w:r>
              <w:rPr>
                <w:sz w:val="20"/>
              </w:rPr>
              <w:t>controlling expenses and investments in anticipation of expanded operations;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carrying out acquisitions and entering into collaborations, in-licensing arrangements, joint ventures, strategic alliances or partnerships;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sz w:val="20"/>
              </w:rPr>
            </w:pPr>
            <w:r>
              <w:rPr>
                <w:sz w:val="20"/>
              </w:rPr>
              <w:t>expanding and enhancing internal information technology, safety, and security systems;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688"/>
        <w:gridCol w:w="9364"/>
      </w:tblGrid>
      <w:tr>
        <w:trPr/>
        <w:tc>
          <w:tcPr>
            <w:tcW w:w="1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pPr>
            <w:r>
              <w:rPr/>
              <w:t>●</w:t>
            </w:r>
          </w:p>
        </w:tc>
        <w:tc>
          <w:tcPr>
            <w:tcW w:w="9364" w:type="dxa"/>
            <w:tcBorders/>
            <w:vAlign w:val="center"/>
          </w:tcPr>
          <w:p>
            <w:pPr>
              <w:pStyle w:val="TableContents"/>
              <w:bidi w:val="0"/>
              <w:spacing w:before="0" w:after="283"/>
              <w:jc w:val="both"/>
              <w:rPr>
                <w:sz w:val="20"/>
              </w:rPr>
            </w:pPr>
            <w:r>
              <w:rPr>
                <w:sz w:val="20"/>
              </w:rPr>
              <w:t>conducting demonstrations;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both"/>
              <w:rPr>
                <w:sz w:val="20"/>
              </w:rPr>
            </w:pPr>
            <w:r>
              <w:rPr>
                <w:sz w:val="20"/>
              </w:rPr>
              <w:t>entering into agreements with suppliers and service providers;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implementing and enhancing administrative infrastructure, systems, and processes.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achieved market penetration warrant, we intend to continue to hire a significant number of additional personnel, including engineers, design, production, and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revenues and profits are subject to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accurately forecast our revenues and operating results, and these could fluctuate in the future due to a number of factors. These factors may include adverse changes in companies’ interests in our robotic delivery and branding services, companies’ available dollars to invest on our services, general economic conditions, our ability to market our company to companies, headcount and other operating costs, and general industry and regulatory conditions and requirements. The Company’s operating results may fluctuate from year to year due to the factors listed above and others not listed. At times, these fluctuations may be significant and could impact our ability to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revenue is concentrated with one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is concentrated with one customer. For the nine months ended September 30, 2023 and the year ended December 31, 2022, sales to one customer accounted for 68% and 50% of total revenue, respectively. For the year ended December 31, 2021, we had not yet commenced any revenue-generating activity. Sales to Uber represented 68% of our revenues for the nine months ended September 30, 2023 and 50% for the year ended December 31, 2022. If Uber were to breach, cancel or amend our agreement, it may have an outsized effect on our revenue, cash on hand, and profitability. In addition, we may have an increased interest in accepting less favorable terms of any amendment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general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dependent on companies purchasing our robotic delivery and branding services. Our business model is thus dependent on national and international economic conditions. Adverse national and international economic conditions may reduce the future availability of dollars companies have to spend on our services, which would negatively impact our revenues and possibly our ability to continue operations. It is not possible to accurately predict the potential adverse impacts on the Company, if any, of current economic conditions on its financial condition, operating results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One of our directors currently holds multiple positions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member Buck Jordan currently serves as a director, officer, or advisor to multiple companies. Many of the companies that he holds titles in are in robotics and automation, which is the same industry as Serve. As such, at times there may be conflicts of interest between Serve and these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changes in interest rates and foreign currency exchange rates may adversely affect our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We have experienced increased costs in acquiring parts for our robots as a result of the global semiconductor industry facing shortages in supply as well as inflation and increased interest rates. We, or our supply chain partners, could continue to increase prices as a result of other adverse macroeconomic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inability of our supply chain to deliver certain key electrical components, such as semiconductors, could materially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highly complex components used to manufacture our robots are obtained from single or limited sources that we may have to compete for with other participants in the robotics, consumer electronics, and automotive markets. If our supply chain fails to deliver products to us in sufficient quality and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 Throughout 2022, we have experienced delays in supply chain deliveries, extended lead times and shortages of key components. These disruptions have delayed and may continue to delay the timing of production and maintenance of our robots, which in turn could negatively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attract and retain highly qualified personnel in the future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innovative technology company. We may not be able to locate or attract qualified individuals for important positions, such as software engineers, robotics engineers, machine vision and machine learning experts and others, which could affect the Company’s ability to grow and expand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or legal proceedings could expose us to significant liabilities, occupy a considerable amount of our management’s time and attention, and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revenue plans rely on partnering with third party delivery platforms, brand sponsors and/or direct sales to merchants.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stream of projected revenue comes from maximizing utilization of our robots to perform deliveries. We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in our partnership with Uber driven by the continued improvement in our integration, high merchant participation, and widespread product acceptance by users of the Uber platform. We have not yet achieved such levels of utilization with our other partners because those integrations are less complete. To achieve profitability, we would need to continue to improve our utilization targets with Uber above current levels and maintain those levels with other partners as well. As this requires cooperation by third parties, there is no guarantee that it will be achieved within a specific timeframe.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projections also anticipate generating revenues from brand sponsors who would pay to place their branding on our robots as a form of out-of-home (“OOH”) branding. OOH branding on robots is a new phenomenon and as such, an unproven model. To date, for our limited number of robots, we have been able to run periodic OOH advertising campaigns with several brands in varying sectors including real estate, fashion and entertainment, with nearly 50% of our 2022 revenue coming from OOH advertising. In the future, if we are unable to realize these sales, our business model and go-to-market strategy will be jeopardized.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our service providers or disruptions to our outsourcing relationships may negatively impact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remote piloting services are currently provided by third-party vendors, and sometimes from service centers outside of the United States. Services provided pursuant to arrangements with these third-party vendors could be disrupted due to events outside of their control such as power failures, cybersecurity incidents, internet traffic congestion or increased latency, or deterioration in their economic condition. Similarly, the expiration of agreements associated with such arrangements or the transition of services between providers could lead to loss of institutional knowledge or service disruptions. While we have not experienced material impact of such disruptions to date, our reliance on others as service providers could have a material adverse effect on our business, financial condition, results of operations and cash flows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robots operate in public spaces and any errors caused by human supervisors, network connectivity issues, third-party software, or automation may adversely affect our commercial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customers (including merchants, platform partners, and brand sponsors) is heavily dependent on our ability to provide a safe and reliable service. Our safety and security track record have been instrumental in helping us attract and retain our existing customers. Because we operate on public sidewalks, the performance of our robots is highly visible and we have to maintain the highest standards for public safety. Our operating procedures and automated systems are designed to ensure that our robots yield the right of way to vehicles, pedestrians, and other sidewalk and road users. Examples include only crossing controlled intersections during a pedestrian “walk” signal and slowing down or stopping if a pedestrian approaches the robot from any direction. Our partners, such as Uber, require timely reporting of any material safety incidents, and if they are not able to ascertain our ability to maintain safe operations, our commercial relationships may be jeopardized. To date, we have not experienced material safety incidents nor have our partners raised any concerns about our safety standards and track record. However, any actual or perceived public safety incidents that may be caused by our human supervisors, network connectivity issues, third-party software, or automation may put our commercial relationships and financial viability at risk.</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72" w:right="7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robots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pStyle w:val="TextBody"/>
        <w:bidi w:val="0"/>
        <w:spacing w:before="0" w:after="0"/>
        <w:ind w:left="216" w:right="216"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require certain third-party software and networks to function safely and effectively, and 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delivery performance or even grounding of our entire fleet until it is resolved, which can adversely impact our ability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benefits to customers of our products could be supplanted by other technologies or solutions or competitors’ products that utilize similar technology to ours in a more effective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experience commercializing our products at a large scale and may not be able to do so efficiently or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reliant on our relationships with suppliers and service providers for the parts and components in our robots, as well as for the manufacture of our robots. If any of these suppliers or service partners choose to not do business with us, then we would have significant difficulty in procuring and producing our robots and our business prospects would be significantly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contain hundreds of components which are assembled by third-party manufacturing partners. Collaboration with third parties for the manufacturing of robots is subject to risks with respect to operations that are outside our control. Global supply chain problems directly impact our ability to obtain these components cost-effectively. We could experience delays to the extent our current or future partners do not continue doing business with us, meet agreed upon timelines, experience capacity constraints or otherwise are unable to deliver components or manufacture robots as expected. For example, we have had to delay increasing the number of robots in our fleet due to previous third-party supply restraints. Serve has an agreement with a leading LIDAR vendor to purchase LIDARs at highly competitive prices within a limited timeframe. Failure to leverage this agreement, or secure similar supplier agreements for components that may face availability constraints due to supply chain disruptions can result in higher prices for those components, which in turn increases the cost of manufacturing robots and result in an adverse financial impact to our delivery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 manufacturers’ robots or other robots manufactured by the same partner. In addition, although we intend to be involved in material decisions in the supply chain and manufacturing process, given that we also rely on our partners to meet our quality standards, there can be no assurance that we will be able to maintain high quality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enter into strategic alliances, including joint ventures or minority equity investments, with various third parties to further our business purpose. These alliances could subject us to a number of risks, including risks associated with sharing proprietary information, non-performance by the third party, and increased expenses in establishing new strategic alliances, any of which may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evolving regulations around personal delivery devices (“PDDs”) could materially impact our business and growth prospects in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Therefore, we proactively engage with lawmakers, academics, standards-setting organizations, urban planning nonprofits, disability rights advocates, senior citizen organizations, and regional bicycle coalitions to anticipate and mitigate potential regulatory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a dozen states across the United States have enacted legislation regulating PDDs, using a definition that includes sidewalk robots such as ours. While these regulations have been largely industry-friendly and intended to streamline the rollout of PDDs in those jurisdictions, they are not yet uniform and may present some challenges as we seek to deploy in new markets. For example, Washington State and the District of Columbia have a 100lb unladen weight restriction and the City of Santa Monica prohibits the operation of autonomous devices on sidewalks, that would require amending in order for us to expand into those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cellular network and radio systems contained in our robots are regulated by the Federal Communications Commission,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and other regulatory bodies. Any failure to comply with the Department of Transportation’s storage and transport requirements or the Federal Communications Commission’s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glitches, or malfunctions in our products or the software that operates them, failure of our products to perform as expected, connectivity issues or operator errors may result in product recalls, lower than expected return on investment for customers and cause significant safety concerns, each of which could adversely affect our results of operations, financial condition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manufacture, and marketing of our products involve certain inherent risks. Manufacturing or design defects, glitches, malfunctions, connectivity issues between the central processing unit and peripheral vehicle subsystems, operator errors, unanticipated use of our robotic systems, inadequate disclosure of risks relating to the use of sidewalk robots, among others, can lead to injury, property damage or other adverse events. We conduct extensive testing of our units, in some instances in collaboration with our customers, to ensure that any such issues can be identified and addressed in advance of commercial launch of the products. However, there can be no assurance that we will be able to identify all such issues or that, if identified, efforts to address them will be effective in all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manufacturing of our products is outsourced, we may not be aware of manufacturing defects that could occur. Such adverse events could lead to unexpected failures in our products and could result, in certain cases, in the removal of our products from the market. A product recall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amplify the risk of failure. Any such occurrence could cause delay in market acceptance of our products, damage to our reputation, product recalls, increased service and warranty costs, product liability claims and loss of revenue relating to such hardware or software defects.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our products perform properly and are used as intended, if operators sustain any injuries while using our products, we could be exposed to liability and our results of operations, financial condition, and our reputation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that is subject to rapid technological change, and competitors may have or attain more resources and/or greater market recognition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Company cannot protect, maintain and, if necessary, enforce its intellectual property rights, its ability to develop and commercialize products will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success, in large part, depends on its ability to protect and maintain the proprietary nature of its technology. The Company must prosecute and maintain its existing patents and obtain new patents. Some of the Company’s proprietary information may not be patentable, and there can be no assurance that others will not utilize similar or superior solutions to compete with the Company. The Company cannot guarantee that it will develop proprietary products that are patentable, and that, if issued, any patent will give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The Company cannot assure you that its means of protecting its proprietary rights will suffice or that others will not independently develop competitive technology or design around patents or other intellectual property rights issued to the Company. Even if a patent is issued, it does not guarantee that it is valid or enforceable. Any patents that the Company or its licensors have obtained or obtain in the future may be challenged, invalidated, or unenforceable. If necessary, the Company will initiate actions to protect its intellectual property, which will be costly and time consuming.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of infringement of third-party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may be adversely affected if third parties claim that our products infringed their patent, copyright, or other intellectual property rights. Such assertions could lead to expensive and unpredictable litigation, diverting the attention of management and technical personnel. An unsuccessful result in such litigation could adversely affect our business, including injunctions, exclusion orders, and royalty payments to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breaches and other disruptions could compromise our proprietary information and expose us to liability, which would cause our business and reputation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computer malware, phishing, spoofing, and other cyber-attacks have become more prevalent and sophisticated in recent years. While we defend against these threats daily, we do not believe that such attacks have caused us any material damage to date.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that such system improvements will be sufficient to prevent or limit the damage from any future cyber-attack or network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theft, loss, or misuse of personal data by or about our employees, customers, or other third parties, which could increase our expenses, damage our reputation, or result in legal or regulatory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have access to sensitive, confidential, or personal data or information regarding our employees and others that is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 For example, in July 2023, we experienced an incident where third-party actors attempted to steal a robot. We are not aware that any data was obtained during any incident of vandalism or attempted theft.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plans require a significant amount of capital. Our future capital needs may require us to sell additional equity or debt securities that may dilute our stockholders or contain terms unfavorable to us or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operate our business and fund our capital expenditures for the next several years.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delivery robotic systems on a large scale, coupled with the fact that our products represent a new product category in the commercial and delivery robotic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 or that such funds, if raised, would be sufficient.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business as projected, both of which could mean that we would be forced to curtail or discontinue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raise additional funds when we need or want them, we may be forced to curtail or abandon our growth plans, which could adversely impact the Company, its business, development, financial condition, operating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raise additional capital in order to develop our technology and scale our commercial delivery operations. However, we may be unable to raise additional capital needed to fund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develop the next version of the Serve robots and scale our commercial delivery operations. We will not be able to continue product development and our commercial deliveries if we cannot raise additional debt and/or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We maintain a banking relationship with Silicon Valley Bank and are required to keep deposits with Silicon Valley Bank pursuant to our Loan and Security Agreement with them. Although the Company had debt with Silicon Valley Bank at the time of its closure, following the closure, the debt was subsequently assumed by First Citizens Bank &amp; Trust and we have experienced no impacts from the closure.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use of the Internet via websites, mobile devices and other platforms, particularly with respect to online food ordering, does not continue, our business and growth prospects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In addition, the Internet and mobile applications may not continue to be accepted as a viable platform or resource for a number of reasons,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actual or perceived lack of security of information or privacy protection;</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possible disruptions, computer viruses or other damage to Internet servers, users’ computers or mobile applications;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both"/>
              <w:rPr/>
            </w:pPr>
            <w:r>
              <w:rPr/>
              <w:t>excessive governmental regulation; and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both"/>
              <w:rPr/>
            </w:pPr>
            <w:r>
              <w:rPr/>
              <w:t>unacceptable delays due to actual or perceived limitations of wireless networks.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discretionary spending patterns in the areas in which the restaurants on our partners’ platforms operate and in the economy at large. Economic downturns or other events (like coronavirus variants or similar widespread health/pandemic outbreaks) impacting the United States and global economy could materially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disruptions due to coronavirus or similar health/pandemic events), including high unemployment,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inflation also increases the cost of labor and materials needed to build and operate robots. For example, we have observed an increase in cost of labor for managing and maintaining robots in the field in the past year. However, over a longer time horizon, technological improvements continue to reduce the cost of our key components such as sensors, batteries and computers. While the unit cost of labor for operating robots will increase over time with inflation, robotic delivery leverages labor more efficiently than manual courier delivery. As such, labor inflation increases the cost of the alternatives to robotic delivery more than it increases robotic delivery cost. At the same time, improvements in robot autonomy will continue to reduce the rate of labor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and services are disruptive to the delivery services industries, and important assumptions about the market demand, pricing, adoption rates and sales cycle, for our current and future products and services may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demand for and adoption of our delivery robots is unproven, and important assumptions about the characteristics of targeted markets, pricing, and sales cycles may be inaccurate. Although we have engaged in ongoing dialogue with potential customers, we have no binding commitments to purchase products and services. 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the financial projections in this prospectus necessarily reflect various estimates and assumptions that may not prove accurate and these projections could differ materially from actual results because of the risks included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among others. If demand does not develop as expected or if we cannot accurately forecast pricing, adoption rates and sales cycle for our products, our business, results of operations and financial condition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benefits of our products to customers and projected return on investment have not been substantiated through long-term trials 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products’ benefits to customers and projected return on investment have not been substantiated through long-term trials or use. We currently have a limited frame of reference by which to evaluate the performance of our delivery robotic systems upon which our business prospects depend. There can be no assurance that such units will provide the expected benefit to customers. Our robotic systems may not perform consistently with customers’ expectations or consistently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delivery robotics market could, by association, have a negative impact on perception and customer demand for our delivery robotic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successfully market our products and services, the purchase or subscription, adoption and use of the products and services may be materially and negatively impacted if our customers resist the use and adoption of the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delivery vehicles. If our customers resist or delay adoption of our robotic delivery services, our business, prospects, financial condition and operating results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systems, products, technologies and services and related equipment may have shorter useful lives than we anticipate.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prior to the end of its life obsolete.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acquisitions, partnerships, or joint ventures that we enter into could disrupt our operations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evaluate potential strategic acquisitions of businesses, including partnerships or joint ventures with third parties. We may not be successful in identifying acquisition, partnership, and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identify, complete, manage and integrate acquisitions could materially and adversely affect our business, financial condition and results of operations and could cause our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natural disasters, health epidemics and other outbreaks, which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any manufacturing partners, and suppliers may rely on complex machinery for production, which involves a significant degree of risk and uncertainty in terms of operational performance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adequately control the costs associated with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expects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manufacture products of sufficient quality on schedule in the future is uncertain, and delays in the design, production and launch of our products could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depends in large part on our ability to execute our plans to design, develop, manufacture, market, deploy and service our products. We intend to outsource the manufacturing of our robotic systems to a third-party manufacturing partner. While this arrangement may lower operating costs, it may have an adverse effect on our flexibility to respond to changing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regulations, and other legislative efforts related to climate change, environmental concerns, and health and safety could result in increased operating costs, reduced demand for our products and services, or the loss of future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laws and environmental regulations could result in increased operating costs and reduced demand for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robots or utilize energy to deliver our services. In addition, any new regulations or laws in the environmental area might increase the cost of raw materials or key components we use in our robots. Environmental regulations may require us to reduce product energy usage and to participate in compulsory recovery and recycling of our robots or components. We are unable to predict how any future changes will impact us and if such impacts will be material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Severe weather conditions and climate change could have a material adverse impact on our business by reducing the operating hours of our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are designed to operate in common environmental conditions. Currently we limit Serve’s operation to warm and dry climates, and we do not operate robots under rare or extreme conditions such as strong storms or unusually high or low temperatures. While with each new generation of robots we plan to continually expand their operating envelope (e.g., introducing the ability to manage ice and snow), which in turn would expand our geographic reach, there is no guarantee that our efforts will successfully overcome all severe weather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cybersecurity risks to our operational systems, security systems, infrastructure, integrated software in our products and data processed by us or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and anti-money laundering laws and regulations. We can face criminal liability and other serious consequences for violations, which can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U.S. Foreign Corrupt Practices Act of 1977, as amended (the “FCPA”), the U.S. domestic bribery statute contained in 18 U.S.C. § 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 Additionally, we are aware of certain media reports relating to the use of our robots as elements in law enforcement surveillance efforts. As a general policy, Serve does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 Public perception of our involvement in such surveillance activities could harm our reputation, and consequently, our business prospects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 of COVID-19 could slow development of our product and utilization of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continued effects of COVID-19, the Company may experience delays related to manufacturing, assembly, and deployment of our robots as well as impact the availability and utilization of our services. The impact continues to evolve, and its future effects are uncertain. Due to COVID-19, the Company may be limited at times with regard to the number of engineers that can work on the product and operations personnel responsible for the successful deployment and performance of our services at any given time in order to maintain safe social distancing. Furthermore, as mentioned above, the Company relies on third-party manufacturers, and those manufacturers may experience delays as well. Such delays would adversely impact our ability to generate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and may continue to be significantly impacted by the worldwide economic downturn due to the COVID-19 pandemic, outbreaks of other contagious diseases, and other catastrophic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COVD-19 health crisis has adversely affected and could continue to affect the global economy, resulting in an economic downturn that could negatively impact the value of the Company’s shares and investor demand for shares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spread of COVID-19 has also led to severe disruption and volatility in the global capital markets, which could increase our cost of capital and adversely affect our ability to access the capital markets in the future. It is possible that the continued spread of COVID-19, outbreaks of other contagious diseases, and other catastrophic events (such as wars, weather events, or terrorism) could cause further economic slowdown or recession or cause other unpredictable events, each of which could adversely affect our business,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predict the impact any future pandemic or outbreak of a disease, or a catastrophic event will have on our business partners and third-party merchants and suppliers, and we may be adversely impacted as a result of the adverse impact our business partners and third-party merchants and suppliers suffer. For example, if we are unable to produce our robots due to manufacturing strains, we may not be able to build and deploy our robots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Any of the foregoing factors, or other cascading effects of the pandemic that are not currently foreseeable, could adversely impact our business, financial performance and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Being a public company can be administratively burdensome and will significantly increase our legal and financial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reporting company, 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evaluate a system of internal controls over financial reporting in compliance with the requirements of Section 404 of the Sarbanes-Oxley Act and the related rules and regulations of the SEC and the Public Company Accounting Oversight Board;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79"/>
        <w:gridCol w:w="9864"/>
      </w:tblGrid>
      <w:tr>
        <w:trPr/>
        <w:tc>
          <w:tcPr>
            <w:tcW w:w="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both"/>
              <w:rPr/>
            </w:pPr>
            <w:r>
              <w:rPr/>
              <w:t>maintain policies relating to disclosure controls and procedures;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prepare and distribute periodic reports in compliance with our obligations under federal securities laws;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institute a more comprehensive compliance function, including with respect to corporate governance; and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both"/>
              <w:rPr/>
            </w:pPr>
            <w:r>
              <w:rPr/>
              <w:t>involve, to a greater degree, our outside legal counsel and accountants in the above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management as a group has limited experience in operating a publicly traded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w:t>
      </w:r>
      <w:r>
        <w:rPr>
          <w:rFonts w:ascii="Times New Roman;Times;Serif" w:hAnsi="Times New Roman;Times;Serif"/>
          <w:b/>
          <w:i w:val="false"/>
          <w:caps w:val="false"/>
          <w:smallCaps w:val="false"/>
          <w:sz w:val="20"/>
          <w:shd w:fill="FFFFFF" w:val="clear"/>
        </w:rPr>
        <w:t>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shares of common stock issued in the Merger and the Private Placement, which are being registered and offered for resale, are “restricted securities” and, as such, may not be sold except in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of the Merger and the Private Placement, no shares of common stock have been registered under the Securities Act or registered or qualified under any state securities laws. The shares of common stock issued in the Merger and Offering were sold and/or issued pursuant to exemptions contained in and under those laws. Accordingly, such shares of common stock are “restricted securities” as defined in Rule 144 under the Securities Act until the effectiveness of this registration statement and must, therefore, be held indefinitely unless registered under applicable federal and state securities laws, or an exemption is available from the registration requirements of those laws. The book entries representing the shares of common stock issued in the Merger reflect their restricted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issued in the Merger and the Private Placement. There can be no assurance, however, that the SEC will declare this registration statement effective, thereby enabling the shares of common stock issued in the Merger or the Private Placement to be freely tradable. In addition, Rule 144 under the Securities Act, which permits the resale, subject to various terms and conditions, of limited amounts of restricted securities after they have been held for six months, will not immediately apply to our common stock because we were at one time designated as a “shell company” under SEC regulations. Pursuant to Rule 144(i), securities issued by a current or former shell company that otherwise meet the holding period and other requirements of Rule 144 nevertheless cannot be sold in reliance on Rule 144 until one year after the date on which the issuer filed current “Form 10 information” (as defined in Rule 144(i)) with the SEC reflecting that it ceased being a shell company, and provided that at the time of a proposed sale pursuant to Rule 144, the issuer has satisfied certain reporting requirements under the Exchange Act. We believe this requirement to file Form 10 information has been satisfied by the filing of the Form 8-K, as amended by the Form 8-K/A filed with the SEC on August 16, 2023. Because, we are a former shell company, the reporting requirements of Rule 144(i) will apply regardless of holding period, the restrictive legends on certificates for the shares of common stock issued in the Merger and the Private Placement cannot be removed except in connection with an actual sale that is subject to an effective registration statement under, or an applicable exemption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currently no market for our common stock and there can be no assurance that any market will ever develop. You may therefore be unable to re-sell shares of our common stock at times and prices that you believe are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listed on a national securities exchange or any other exchange, or quoted on an over-the-counter market. Therefore, there is no trading market, active or otherwise, for our common stock and our common stock may never be included for trading on any stock exchange, automated quotation system or any over-the-counter market. Accordingly, our common stock is highly illiquid, and you will likely experience difficulty in re-selling such shares at times and prices that you may desire.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may not be eligible for listing or quotation on any securities exchange or over-the-counter trading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meet the initial quantitative listing standards of any national securities exchange or over-the-counter trading system. We cannot assure you that we will be able to meet the initial listing standards of any national securities exchange, or, if we do meet such initial listing standards, that we will be able to maintain any such listing. Further, the national securities exchanges are adopting so-called “seasoning” rules that will require that we meet certain requirements, including prescribed periods of time trading over-the-counter and minimum filings of periodic reports with the SEC, before we are eligible to apply for listing on such national securities exchanges. We have contacted an authorized market maker for an over-the-counter quotation system for sponsorship of our common stock, but we cannot guarantee that such sponsorship will be approved and our common stock listed and quoted for sale. Even if our common stock is quoted for sale on an over-the-counter quotation system, buyers may be insufficient in numbers to allow for a robust market and it may prove impossible to sell your shares. In addition, an investor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its liquidity. This would also make it more difficult for us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and trading volume of our common stock may be volatile and could decline significantly following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quotation systems, including the OTC Markets QB tier, or stock exchanges, including Nasdaq, on which our common stock may be quoted or on which our common stock may be listed in the future have from time to time experienced significant price and volume fluctuations. Even if an active, liquid and orderly trading market develops and is sustained for our common stock, the market price of our common stock may be volatile and could decline significantly. In addition, the trading volume in our common stock may fluctuate and cause significant price variations to occur. If the market price of our common stock declines significantly, you may be unable to resell your shares at or above the market price of our common stock as of the date of the consummation of the Merger. We cannot assure you that the market price of common stock will not fluctuate widely or decline significantly in the future in response to a number of factors, including, among others, the following:</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both"/>
              <w:rPr/>
            </w:pPr>
            <w:r>
              <w:rPr/>
              <w:t>the realization of any of the risk factors presented in this prospectus;</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actual or anticipated differences in our estimates, or in the estimates of analysts, for our revenues, results of operations, level of indebtedness, liquidity or financial condition;</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w:t>
            </w:r>
          </w:p>
        </w:tc>
        <w:tc>
          <w:tcPr>
            <w:tcW w:w="9704" w:type="dxa"/>
            <w:tcBorders/>
            <w:vAlign w:val="center"/>
          </w:tcPr>
          <w:p>
            <w:pPr>
              <w:pStyle w:val="TableContents"/>
              <w:bidi w:val="0"/>
              <w:spacing w:before="0" w:after="283"/>
              <w:jc w:val="both"/>
              <w:rPr/>
            </w:pPr>
            <w:r>
              <w:rPr/>
              <w:t>additions and departures of key personnel;</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failure to comply with the requirements of the OTCQB market, or following our potential up listing on Nasdaq;</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6"/>
        <w:gridCol w:w="9917"/>
      </w:tblGrid>
      <w:tr>
        <w:trPr/>
        <w:tc>
          <w:tcPr>
            <w:tcW w:w="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both"/>
              <w:rPr/>
            </w:pPr>
            <w:r>
              <w:rPr/>
              <w:t>failure to comply with the Sarbanes-Oxley Act or other laws or regulations;</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future issuances, sales, resales or repurchases or anticipated issuances, sales, resales or repurchases, of our common stock;</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4"/>
        <w:gridCol w:w="9821"/>
      </w:tblGrid>
      <w:tr>
        <w:trPr/>
        <w:tc>
          <w:tcPr>
            <w:tcW w:w="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w:t>
            </w:r>
          </w:p>
        </w:tc>
        <w:tc>
          <w:tcPr>
            <w:tcW w:w="9821" w:type="dxa"/>
            <w:tcBorders/>
            <w:vAlign w:val="center"/>
          </w:tcPr>
          <w:p>
            <w:pPr>
              <w:pStyle w:val="TableContents"/>
              <w:bidi w:val="0"/>
              <w:spacing w:before="0" w:after="283"/>
              <w:jc w:val="both"/>
              <w:rPr/>
            </w:pPr>
            <w:r>
              <w:rPr/>
              <w:t>publication of research reports about us, or our industry;</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6"/>
        <w:gridCol w:w="9880"/>
      </w:tblGrid>
      <w:tr>
        <w:trPr/>
        <w:tc>
          <w:tcPr>
            <w:tcW w:w="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w:t>
            </w:r>
          </w:p>
        </w:tc>
        <w:tc>
          <w:tcPr>
            <w:tcW w:w="9880" w:type="dxa"/>
            <w:tcBorders/>
            <w:vAlign w:val="center"/>
          </w:tcPr>
          <w:p>
            <w:pPr>
              <w:pStyle w:val="TableContents"/>
              <w:bidi w:val="0"/>
              <w:spacing w:before="0" w:after="283"/>
              <w:jc w:val="both"/>
              <w:rPr/>
            </w:pPr>
            <w:r>
              <w:rPr/>
              <w:t>the performance and market valuations of other similar companies;</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broad disruptions in the financial markets, including sudden disruptions in the credit markets;</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0"/>
        <w:gridCol w:w="9777"/>
      </w:tblGrid>
      <w:tr>
        <w:trPr/>
        <w:tc>
          <w:tcPr>
            <w:tcW w:w="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w:t>
            </w:r>
          </w:p>
        </w:tc>
        <w:tc>
          <w:tcPr>
            <w:tcW w:w="9777" w:type="dxa"/>
            <w:tcBorders/>
            <w:vAlign w:val="center"/>
          </w:tcPr>
          <w:p>
            <w:pPr>
              <w:pStyle w:val="TableContents"/>
              <w:bidi w:val="0"/>
              <w:spacing w:before="0" w:after="283"/>
              <w:jc w:val="both"/>
              <w:rPr/>
            </w:pPr>
            <w:r>
              <w:rPr/>
              <w:t>speculation in the press or investment community;</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pPr>
            <w:r>
              <w:rPr/>
              <w:t>actual, potential or perceived control, accounting or reporting problems; and</w:t>
            </w:r>
          </w:p>
        </w:tc>
      </w:tr>
    </w:tbl>
    <w:p>
      <w:pPr>
        <w:pStyle w:val="TextBody"/>
        <w:bidi w:val="0"/>
        <w:spacing w:before="0" w:after="0"/>
        <w:ind w:left="144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w:t>
            </w:r>
          </w:p>
        </w:tc>
        <w:tc>
          <w:tcPr>
            <w:tcW w:w="9829" w:type="dxa"/>
            <w:tcBorders/>
            <w:vAlign w:val="center"/>
          </w:tcPr>
          <w:p>
            <w:pPr>
              <w:pStyle w:val="TableContents"/>
              <w:bidi w:val="0"/>
              <w:spacing w:before="0" w:after="283"/>
              <w:jc w:val="both"/>
              <w:rPr/>
            </w:pPr>
            <w:r>
              <w:rPr/>
              <w:t>changes in accounting principles, policies and guidelines.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designation of our common stock as “penny stock” would limit the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Penny stock in start-up companies is among the riskiest equity investments. Broker-dealers who sell penny stock must provide purchasers with a standardized risk-disclosure document prepared by the SEC. The document provides information about penny stock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If our common stock is deemed “penny stock”, because of penny stock rules, there may be less trading activity in any market that develops for our common stock in the future and stockholders are likely to have difficulty selling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FINRA sales practice requirements may limit a stockholder’s ability to buy and sell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became a reporting company under the Exchange Act by means other than a traditional underwritten initial public offering, we may not be able to attract the attention of research analysts at major brokerage firms.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did not become a reporting company by conducting an underwritten initial public offering of our common stock, and because we will not be listed on a national securities exchange, security analysts of brokerage firms may not provide coverage of our Company. In addition, investment banks may be less likely to agree to underwrite secondary offerings on our behalf than they might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will have an adverse effect on our ability to develop a liquid market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Merger was a reverse merger, the registration statement we file with respect to the shares of common stock received by investors in the Merger might be subject to heightened scrutiny by the SEC, and we may not be able to attract the attention of major brokerage firms.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may exist as a result of our becoming a public reporting company through a “reverse merger.” Certain SEC rules are more restrictive when applied to reverse merger companies, such as the ability of stockholders to re-sell their shares of common stock pursuant to Rule 144. In addition, securities analysts of major brokerage firms may not provide coverage of our capital stock or business. Because we became a public reporting operating company through a reverse merger, there is no incentive to brokerage firms to recommend the purchase of our common stock. We cannot assure you that brokerage firms will want to provide analyst coverage of our capital stock or business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Following the consummation of the Merger, we are obligated to develop and maintain proper and effective internal control over financial reporting. If we fail to develop and maintain an effective system of disclosure controls and internal control over financial reporting, our ability to produce timely and accurate financial statements or comply with applicable laws and regulations could be impaired. In addition, the presence of material weaknesses increases the risk of material misstatement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 public company and is required, pursuant to Section 404(a) of the Sarbanes-Oxley Act, to furnish a report by management on, among other things, the effectiveness of its internal control over financial reporting on its annual report on Form 10-K. Following the Merger, we are subject to the same requirements.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its reporting obligations. Ineffective internal controls could also cause investors to lose confidence in reported financial information, which could have a negative effect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by management will need to include disclosure of any material weaknesses identified in internal control over financial reporting. However, for as long as we are an “emerging growth company” under the JOBS Act following the consummation of the Merger, its independent registered public accounting firm will not be required to attest to the effectiveness of internal control over financial reporting pursuant to Section 404(b) of the Sarbanes-Oxley Act. Management’s assessment of internal controls, when implemented, could detect problems with internal controls, and an independent assessment of the effectiveness of internal controls by our auditors could detect further problems that management’s assessment might not,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 public company requirements, we may need to undertake various actions, such as implementing new internal controls and procedures and hiring accounting or internal audit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early stages of developing the system and processing documentation necessary to perform the evaluation needed to comply with Section 404. We may not be able to complete its evaluation, testing, and any required remediation in a timely fashion. During the evaluation and testing process, if we identify material weaknesses in internal control over financial reporting, we will be unable to assert that internal control over financial reporting is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our Quarterly Report on Form 10-Q for the quarter ended September 30, 2023,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and based upon that evaluation, our Chief Executive Officer and Chief Financial Officer concluded that our disclosure controls and procedures are not effective at the reasonable assurance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assert that our internal control over financial reporting is effective, or if our independent registered public accounting firm is unable to express an opinion on the effectiveness of its internal control, including as a result of the material weaknesses described above, we could lose investor confidence in the accuracy and completeness of financial reports, which would cause the price of our common stock to decline, and we may be subject to investigation or sanctions by the SEC. In addition, if we are unable to continue to meet these requirements, we may not be able to remain quoted on any over-the-counter trading system, or following any potential listing, listed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not being required to have our independent registered public accounting firm audit our internal control over financial reporting under Section 404 of the Sarbanes-Oxley Act;</w:t>
            </w:r>
          </w:p>
        </w:tc>
      </w:tr>
    </w:tbl>
    <w:p>
      <w:pPr>
        <w:pStyle w:val="TextBody"/>
        <w:bidi w:val="0"/>
        <w:spacing w:before="0" w:after="0"/>
        <w:ind w:left="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disclosure obligations regarding executive compensation in our periodic reports and annual report on Form 10-K; and</w:t>
            </w:r>
          </w:p>
        </w:tc>
      </w:tr>
    </w:tbl>
    <w:p>
      <w:pPr>
        <w:pStyle w:val="TextBody"/>
        <w:bidi w:val="0"/>
        <w:spacing w:before="0" w:after="0"/>
        <w:ind w:left="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exemptions from the requirements of holding non-binding advisory votes on executive compensation and stockholder approval of any golden parachute payments not previously approved.</w:t>
            </w:r>
          </w:p>
        </w:tc>
      </w:tr>
    </w:tbl>
    <w:p>
      <w:pPr>
        <w:pStyle w:val="TextBody"/>
        <w:bidi w:val="0"/>
        <w:spacing w:before="0" w:after="0"/>
        <w:ind w:left="0" w:right="0" w:firstLine="770"/>
        <w:jc w:val="both"/>
        <w:rPr>
          <w:caps w:val="false"/>
          <w:smallCaps w:val="false"/>
        </w:rPr>
      </w:pPr>
      <w:r>
        <w:rPr>
          <w:caps w:val="false"/>
          <w:smallCaps w:val="false"/>
        </w:rPr>
        <w:t> </w:t>
      </w:r>
    </w:p>
    <w:p>
      <w:pPr>
        <w:pStyle w:val="TextBody"/>
        <w:bidi w:val="0"/>
        <w:spacing w:before="0" w:after="0"/>
        <w:ind w:left="0" w:right="0" w:firstLine="77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an emerging growth company for up to five years following the completion of our initial public offering. Our status as an emerging growth company will end as soon as any of the following takes place:</w:t>
      </w:r>
    </w:p>
    <w:p>
      <w:pPr>
        <w:pStyle w:val="TextBody"/>
        <w:bidi w:val="0"/>
        <w:spacing w:before="0" w:after="0"/>
        <w:ind w:left="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pPr>
            <w:r>
              <w:rPr/>
              <w:t>the last day of the fiscal year in which we have more than $1.24 billion in annual revenues;</w:t>
            </w:r>
          </w:p>
        </w:tc>
      </w:tr>
    </w:tbl>
    <w:p>
      <w:pPr>
        <w:pStyle w:val="TextBody"/>
        <w:bidi w:val="0"/>
        <w:spacing w:before="0" w:after="0"/>
        <w:ind w:left="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we qualify as a “large accelerated filer,” with at least $700 million of equity securities held by non-affiliates;</w:t>
            </w:r>
          </w:p>
        </w:tc>
      </w:tr>
    </w:tbl>
    <w:p>
      <w:pPr>
        <w:pStyle w:val="TextBody"/>
        <w:bidi w:val="0"/>
        <w:spacing w:before="0" w:after="0"/>
        <w:ind w:left="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we have issued, in any three-year period, more than $1.00 billion in non-convertible debt securities; or</w:t>
            </w:r>
          </w:p>
        </w:tc>
      </w:tr>
    </w:tbl>
    <w:p>
      <w:pPr>
        <w:pStyle w:val="TextBody"/>
        <w:bidi w:val="0"/>
        <w:spacing w:before="0" w:after="0"/>
        <w:ind w:left="0" w:right="0" w:firstLine="7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the last day of the fiscal year ending after the fifth anniversary of the completion of the Merger.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risks related to securities litigation that could result in significant legal expenses and settlement or damage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litigation may require significant attention from management and could result in significant legal expenses, settlement costs or damage awards that could have a material impact on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that became effective upon completion of the Merger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establish a classified board of directors so that not all members of our board are elected at one time;</w:t>
            </w:r>
          </w:p>
        </w:tc>
      </w:tr>
    </w:tbl>
    <w:p>
      <w:pPr>
        <w:pStyle w:val="TextBody"/>
        <w:bidi w:val="0"/>
        <w:spacing w:before="0" w:after="0"/>
        <w:ind w:left="5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8"/>
        <w:gridCol w:w="9988"/>
      </w:tblGrid>
      <w:tr>
        <w:trPr/>
        <w:tc>
          <w:tcPr>
            <w:tcW w:w="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88" w:type="dxa"/>
            <w:tcBorders/>
            <w:vAlign w:val="center"/>
          </w:tcPr>
          <w:p>
            <w:pPr>
              <w:pStyle w:val="TableContents"/>
              <w:bidi w:val="0"/>
              <w:spacing w:before="0" w:after="283"/>
              <w:jc w:val="both"/>
              <w:rPr/>
            </w:pPr>
            <w:r>
              <w:rPr/>
              <w:t>permit only the board of directors to establish the number of directors and fill vacancies on the board;</w:t>
            </w:r>
          </w:p>
        </w:tc>
      </w:tr>
    </w:tbl>
    <w:p>
      <w:pPr>
        <w:pStyle w:val="TextBody"/>
        <w:bidi w:val="0"/>
        <w:spacing w:before="0" w:after="0"/>
        <w:ind w:left="5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 that directors may only be removed “for cause” and only with the approval of two-thirds of our stockholders;</w:t>
            </w:r>
          </w:p>
        </w:tc>
      </w:tr>
    </w:tbl>
    <w:p>
      <w:pPr>
        <w:pStyle w:val="TextBody"/>
        <w:bidi w:val="0"/>
        <w:spacing w:before="0" w:after="0"/>
        <w:ind w:left="5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require super-majority voting to amend some provisions in our amended and restated certificate of incorporation and amended and restated bylaws;</w:t>
            </w:r>
          </w:p>
        </w:tc>
      </w:tr>
    </w:tbl>
    <w:p>
      <w:pPr>
        <w:pStyle w:val="TextBody"/>
        <w:bidi w:val="0"/>
        <w:spacing w:before="0" w:after="0"/>
        <w:ind w:left="5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authorize the issuance of “blank check” preferred stock that our board could use to implement a stockholder rights plan;</w:t>
            </w:r>
          </w:p>
        </w:tc>
      </w:tr>
    </w:tbl>
    <w:p>
      <w:pPr>
        <w:pStyle w:val="TextBody"/>
        <w:bidi w:val="0"/>
        <w:spacing w:before="0" w:after="0"/>
        <w:ind w:left="5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eliminate the ability of our stockholders to call special meetings of stockholders;</w:t>
            </w:r>
          </w:p>
        </w:tc>
      </w:tr>
    </w:tbl>
    <w:p>
      <w:pPr>
        <w:pStyle w:val="TextBody"/>
        <w:bidi w:val="0"/>
        <w:spacing w:before="0" w:after="0"/>
        <w:ind w:left="5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prohibit stockholder action by written consent, which requires all stockholder actions to be taken at a meeting of our stockholders;</w:t>
            </w:r>
          </w:p>
        </w:tc>
      </w:tr>
    </w:tbl>
    <w:p>
      <w:pPr>
        <w:pStyle w:val="TextBody"/>
        <w:bidi w:val="0"/>
        <w:spacing w:before="0" w:after="0"/>
        <w:ind w:left="5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2"/>
        <w:gridCol w:w="9542"/>
      </w:tblGrid>
      <w:tr>
        <w:trPr/>
        <w:tc>
          <w:tcPr>
            <w:tcW w:w="1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w:t>
            </w:r>
          </w:p>
        </w:tc>
        <w:tc>
          <w:tcPr>
            <w:tcW w:w="9542" w:type="dxa"/>
            <w:tcBorders/>
            <w:vAlign w:val="center"/>
          </w:tcPr>
          <w:p>
            <w:pPr>
              <w:pStyle w:val="TableContents"/>
              <w:bidi w:val="0"/>
              <w:spacing w:before="0" w:after="283"/>
              <w:jc w:val="both"/>
              <w:rPr/>
            </w:pPr>
            <w:r>
              <w:rPr/>
              <w:t>prohibit cumulative voting; and</w:t>
            </w:r>
          </w:p>
        </w:tc>
      </w:tr>
    </w:tbl>
    <w:p>
      <w:pPr>
        <w:pStyle w:val="TextBody"/>
        <w:bidi w:val="0"/>
        <w:spacing w:before="0" w:after="0"/>
        <w:ind w:left="5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 advance notice requirements for nominations for election to our board or for proposing matters that can be acted upon by stockholders at annual stockholder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 and, as a result, your ability to achieve a return on your investment will depend on appreciation in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and we do not intend to pay any cash dividends in the foreseeable future.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unfavorable or inaccurate research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and trading volume following our quotation on the OTC Markets QB tier, if any, or following our potential listing on a securities exchange, if any, will be heavily influenced by the way analysts and investors interpret our financial information and other disclosures. Securities and industry analysts do not currently, and may never, publish research on our business. If few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9" w:name="r_008"/>
      <w:bookmarkEnd w:id="9"/>
      <w:r>
        <w:rPr>
          <w:rFonts w:ascii="Times New Roman;Times;Serif" w:hAnsi="Times New Roman;Times;Serif"/>
          <w:b/>
          <w:i w:val="false"/>
          <w:smallCaps/>
          <w:sz w:val="20"/>
        </w:rPr>
        <w:t>DESCRIPTION OF THE MERGER, THE PRIVATE PLACEMENT, AND RELATED TRANSACTIONS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Bridge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Serve offered and sold in a private placement (the “Bridge Financing”) to accredited investors $3,001,500 principal amount of its senior subordinated secured convertible notes (the “Bridge Notes”). The Bridge Notes bore interest at 10% per annum and were payable on October 21, 2023, subject to earlier conversion as described below. Among the accredited investors who participated in the Bridge Financing were Ali Kashani, our Chief Executive Officer, and Mark Tompkins, who holds greater than 5% of the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Bridge Notes would have been payable at maturity; however, upon conversion of the Bridge Notes as described below, accrued interest was forgiven. The Bridge Notes were secured by a second priority security interest on all of the assets of Serve and its subsidiary, subject to certain limited exceptions. This security interest terminated upon conversion of the Bridge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Bridge Notes, and the grant of the Bridge Warrants and Bridge Broker Warrants (each as defined below) was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and the Private Placement, the outstanding principal amount of the Bridge Notes was automatically converted into 937,961 shares of our common stock at a conversion price of $3.20 per share, and investors in the Bridge Notes received a warrant to purchase a number of shares of common stock equal to 50% of the number of shares of common stock into which the Bridge Notes were converted, at an exercise price of $3.20 per share for a term of three years (the “Bridge Warrants”). If at any time after the Registration Effectiveness Date (as defined below)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 The Bridge Warrants have weighted average anti-dilution protection,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Bridge Notes, Serve paid to Laidlaw &amp; Company (UK) Ltd. and Network 1 Financial Services, Inc. (collectively, the “Bridge Brokers”), each a U.S. registered broker-dealer, cash commissions of 8% of funds raised, or 4% in the case of funds raised from current officers, directors, and stockholders of Serve and their respective friends and family (“Insider Investors”), and agreed to cause the Company to issue to them, upon closing of the Merger and the Private Placement, warrants to purchase a number of shares of Serve’s common stock equal to 8% of the number of shares of common stock into which Bridge Notes, other than those purchased by Insider Investors, would convert at the closing of the Merger and Offering, with an exercise price per share of $3.20 and a term of three years (the “Bridge Broker Warrants”). The Bridge Broker Warrants have weighted average anti-dilution protection,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Brokers were paid an aggregate commission of $239,400 and were entitled to be issued Bridge Broker Warrants to purchase an aggregate of 74,662 shares of our common stock. Serve also reimbursed them $25,000 for their legal and other expenses incurred in connection with the Bridge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indemnify the Bridge Brokers, to the fullest extent permitted by law, against certain liabilities that may be incurred in connection with the Bridge Notes, including certain civil liabilities under the Securities Act, and, where such indemnification is not available, to contribute to the payments the placement agents and its sub-agents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descriptions of the Bridge Warrants and the Bridge Broker Warrants herein are qualified in their entirety by reference to the text thereof filed as exhibits hereto,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Company, Acquisition Sub and Serve entered into the Merger Agreement. Pursuant to the terms of the Merger Agreement, on July 31, 2023, Acquisition Sub merged with and into Serve, with Serve continuing as the surviving corporation and our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acquired the business of Serve, which designs, develops and operates an advanced, AI-powered robotics mobility platform, with last mile delivery in cities as its first application. See “</w:t>
      </w:r>
      <w:r>
        <w:rPr>
          <w:rFonts w:ascii="Times New Roman;Times;Serif" w:hAnsi="Times New Roman;Times;Serif"/>
          <w:b w:val="false"/>
          <w:i/>
          <w:caps w:val="false"/>
          <w:smallCaps w:val="false"/>
          <w:sz w:val="20"/>
        </w:rPr>
        <w:t>Description of our Business</w:t>
      </w:r>
      <w:r>
        <w:rPr>
          <w:rFonts w:ascii="Times New Roman;Times;Serif" w:hAnsi="Times New Roman;Times;Serif"/>
          <w:b w:val="false"/>
          <w:i w:val="false"/>
          <w:caps w:val="false"/>
          <w:smallCaps w:val="false"/>
          <w:sz w:val="20"/>
        </w:rPr>
        <w:t>” below</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At the time the certificate of merger reflecting the Merger was filed with the Secretary of State of Delaware, each of Serve’s shares of capital stock issued and outstanding immediately prior to the closing of the Merger was converted into the right to receive 0.8035 shares of our common stock (in the case of shares held by accredited investors), with the maximum number of shares of our common stock issuable to the former holders of Serve’s capital stock equal to 20,948,917 after adjustments due to rounding for fractional shares. Immediately prior to the Effective Time, an aggregate of 3,500,000 shares of Company common stock owned by our stockholders prior to the Merger were forfeited and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(i) options to purchase 1,984,951 shares of Serve’s common stock issued and outstanding immediately prior to the closing of the Merger under Serve’s 2021 Stock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simple agreement for future equity totaling $15,551,953 were converted into 4,372,613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below for more information. The issuance of shares of our common stock, options, or warrants to purchase shares of our common stock, to Serve’s former security holders are collectively referred to as the “Share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contained customary representations and warranties and pre- and post-closing covenants of each party and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the Merger, on July 31, 2023, we entered into indemnity agreements with our former officer and directors, pursuant to which we agreed to indemnify such former officer and directors for actions taken by them in their official capacities relating to the consideration, approval and consummation of the Merger and certain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treated as a recapitalization and reverse acquisition for us for financial reporting purposes. Serve is considered the acquirer for accounting purposes, and our historical financial statements before the Merger will be replaced with the historical financial statements of Serve before the Merger in future filings with the SEC. The Merger is intended to be treated as a tax-free reorganization under Section 368(a)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and they, including the Merger Shares included in this prospectus, are subject to further contractual restrictions on transfer as described below under “</w:t>
      </w:r>
      <w:r>
        <w:rPr>
          <w:rFonts w:ascii="Times New Roman;Times;Serif" w:hAnsi="Times New Roman;Times;Serif"/>
          <w:b w:val="false"/>
          <w:i/>
          <w:caps w:val="false"/>
          <w:smallCaps w:val="false"/>
          <w:sz w:val="20"/>
        </w:rPr>
        <w:t>Shares Eligible for Future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Effective Time of the Merger, we sold 3,183,671 shares of our common stock in a private placement offering pursuant to the Subscription Agreement by and between the Company and the purchasers of common stock (the “Subscription Agreement”) at a purchase price of $4.00 per share (the “Sale Price”) in multiple closings. The private placement offering is referred to herein as the “Private Placement.” We also issued 937,961 shares of our common stock to convert the outstanding principal and interest of outstanding Bridge Notes in connection with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gross proceeds from the Private Placement were approximately $15.74 million (including the aggregate principal amount of Bridge Notes converted as described above, and before deducting placement agent fees and expenses of the Private Placement, which are estimated at $1.74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including the grant of the Placement Agent Warrants (as defined below), was exempt from registration under Section 4(a)(2) of the Securities Act and Rule 506(b) of Regulation D promulgated by the SEC thereunder. The common stock in the Private Placement was sold to “accredited investors,” as defined in Regulation D, and the Private Placement was conducted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issued to the holders of the Bridge Notes prior to their conversion, Bridge Warrants to purchase 468,971 shares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subject to the closing of the Private Placement, we agreed to pay the placement agents, Aegis Capital Corp. and Network 1 Financial Services, Inc. (the “Placement Agents”), each a U.S. registered broker-dealer, a cash placement fee of 8% of the gross proceeds raised from investors in the Private Placement (or 4% of gross proceeds raised from Insider Investors) and to issue (a) to them warrants to purchase a number of shares of our common stock equal to 8% of the number of shares of common stock sold in the Private Placement (other than to Insider Investors), with a term expiring three years after the common stock begins to trade on Nasdaq or New York Stock Exchange and an exercise price of $4.00 per share (the “Placement Agent A Warrants”) and (b) to each of them warrants to purchase 125,000 shares of common stock with the same term as the Placement Agent A Warrants and an exercise price of $0.001 per share (the “Placement Agent B Warrants” and together with the Placement Agent A Warrants, the “Placement Agent Warrants”). We also agreed to pay certain expenses of the Placement Agents in connection with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paid the Placement Agents an aggregate commission of $687,925 (not including the commission paid in connection with the sale of the Bridge Notes) and issued to them Placement Agent A Warrants to purchase 122,307 shares of our common stock and Placement Agent B Warrants to purchase an aggregate of 250,000 shares of our common stock in connection with the closing of the Private Placement. We have also reimbursed the Placement Agents for approximately $60,000 of expenses incurred in connection with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customary exceptions, we have agreed to indemnify the Placement Agents to the fullest extent permitted by law against certain liabilities that may be incurred in connection with the Private Placement, including certain civil liabilities under the Securities Act, and, where such indemnification is not available, to contribute to the payments the Placement Agents and their sub-agents may be required to make in respect of such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the Private Placement, on July 31, 2023, we entered into a registration rights agreement (the “Registration Rights Agreement”), pursuant to which we agreed that promptly, but no later than 60 calendar days from the final closing of the Private Placement, we would file, subject to customary exceptions, a registration statement with the SEC (the “Registration Statement”), covering (i) the shares of our common stock issued in the Private Placement (including those issued upon conversion of the Bridge Notes); (ii) the shares of our common stock issuable upon exercise of the Bridge Warrants; (iii) the shares of our common stock issuable upon exercise of the Bridge Broker Warrants and the Placement Agent Warrants; (iv) the Merger Shares; and (v) 1,500,000 shares of our common stock held by our stockholders prior to the Merger ((i)-(v) collectively, the “Registrable Securities”). We also undertook to use our commercially reasonable efforts to ensure that such Registration Statement is declared effective within 120 calendar days after the final closing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if (i) we are late in filing the Registration Statement, (ii) the Registration Statement is not declared effective within 120 days after the final closing of the Private Placement (provided that such failure of the Registration Statement to be declared effective within one hundred twenty (120) calendar days is the result of any action or failure to act on the part of the Company) (the “Registration Effectiveness Date”), (iii) we fail to maintain the effectiveness of the Registration Statement, (iv) the holders of Registrable Securities cannot use the Registration Statement to resell the Registrable Securities for a period of more than 15 consecutive trading days (except for suspension of the use of the Registration Statement during certain Blackout Period (as defined below)), or (v) following the listing or inclusion for quotation on the OTC Markets, the Nasdaq Stock Market (“Nasdaq”), the New York Stock Exchange (“NYSE”) or the NYSE American, trading of our common stock is suspended or halted for more than three full, consecutive trading days ((i)-(v) collectively, “Registration Events”),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(1) any Registrable Securities removed from the Registration Statement in response to a comment from the staff of the SEC limiting the number of shares of common stock which may be included in the Registration Statement (a “Cutback Comment”), (2) any Registrable Securities that may be resold without manner of sale restrictions, current information requirements, volume limitations or other limitations under Rule 144 or another exemption from registration under the Securities Act, (3) any Registrable Securities excluded from a registration statement because a holder fails to provide information concerning the holder and the manner of distribution of the holder’s Registrable Securities that is required by SEC rules to be disclosed, and (4) any circumstance in which the SEC does not declare the Registration Statement effective on or before 120 days after the final closing of the Private Placement, and the reason for the SEC’s determination is that (a) the offering of any of the Registrable Securities constitutes a primary offering of securities by the Company, (b) Rule 415 of the Securities Act may not be relied upon for the registration of the resale of any or all of the Registrable Securities, and/or (c) a holder of any Registrable Securities must be named as an underwriter and such holder does not consent to be so named in the Registration Statement. Notwithstanding the previous sentence, if the SEC does not declare the Registration Statement effective before the Registration Effectiveness Date, in certain circumstances we may still be liable for liquidated damages if we do not continue to use our commercially reasonable efforts at the first opportunity that is permitted by the SEC to register for resale all such Registrable Securities, using one or more registration statements that we are then entitled to use. Any cutback resulting from a Cutback Comment shall be applied to the Registrable Securities pro rata based on the total number of such shares held by or issuable to each holder thereof. Pursuant to the Registration Rights Agreement “Blackout Period” means, a period in which the Company determines that the registration or distribution of the Registrable Securities to be covered by such registration statement, would be seriously detrimental to the Company and its stockholders, commencing on the day the Company notifies the stockholders that they are required to suspend offers and sales of Registrable Securities and ending on the earlier of (i) the date on which the material non-public information resulting in the Blackout Period is disclosed to the public or ceases to be material and (ii) such time that the Company notifies the stockholders that sales pursuant to the registration statement may resume.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OTC Quotation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not listed on a national securities exchange or any other exchange, or quoted on an over-the-counter market. Following completion of the Private Placement, we intend to cause our common stock to be quoted on the OTC Markets QB tier as soon as practicable following the effectiveness of the Registration Statement. However, we cannot assure you that we will be able to do so and, even if we do so, there can be no assurance that our common stock will continue to be quoted on the OTC Markets or quoted or listed on any other market or exchange, or that an active trading market for our common stock will develop or continue. See “</w:t>
      </w:r>
      <w:r>
        <w:rPr>
          <w:rFonts w:ascii="Times New Roman;Times;Serif" w:hAnsi="Times New Roman;Times;Serif"/>
          <w:b w:val="false"/>
          <w:i/>
          <w:caps w:val="false"/>
          <w:smallCaps w:val="false"/>
          <w:sz w:val="20"/>
        </w:rPr>
        <w:t>Risk Factors—There is currently no market for our common stock and there can be no assurance that any market will ever develop. You may therefore be unable to re-sell shares of our common stock at times and prices that you believe are appropriate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r_009"/>
      <w:bookmarkEnd w:id="10"/>
      <w:r>
        <w:rPr>
          <w:rFonts w:ascii="Times New Roman;Times;Serif" w:hAnsi="Times New Roman;Times;Serif"/>
          <w:b/>
          <w:i w:val="false"/>
          <w:caps/>
          <w:sz w:val="20"/>
        </w:rPr>
        <w:t xml:space="preserve">DESCRIPTION OF OUR </w:t>
      </w:r>
      <w:r>
        <w:rPr>
          <w:rFonts w:ascii="Times New Roman;Times;Serif" w:hAnsi="Times New Roman;Times;Serif"/>
          <w:b/>
          <w:i w:val="false"/>
          <w:smallCaps/>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Formation History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Operating Co. was incorporated in the State of Delaware on January 15, 2021. Serve is a spin-off of Uber Technologies Inc. (“Uber”), a global ride-hailing and last mile delivery platform. The Serve initiative was initially formed in 2017 as the X division of Postmates Inc. (“Postmates”), a pioneering food delivery startup in the United States. Uber acquired Postmates in 2020, including the Postmates X division.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2021, Uber’s leadership agreed to contribute the intellectual property developed by the Postmates X division team, the related assets, as well as a capital investment to Serve in return for a minority equity interest in the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website address is www.serverobotics.com and we can be contacted at investor.relations@serverobotics.com. Information contained on, or that can be accessed through, our website is not a part of this prospectus.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Terms and Abbreviations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glossary of technical terms used in this prospectus: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AI — </w:t>
      </w:r>
      <w:r>
        <w:rPr>
          <w:rFonts w:ascii="Times New Roman;Times;Serif" w:hAnsi="Times New Roman;Times;Serif"/>
          <w:b w:val="false"/>
          <w:i w:val="false"/>
          <w:caps w:val="false"/>
          <w:smallCaps w:val="false"/>
          <w:sz w:val="20"/>
        </w:rPr>
        <w:t>Artificial Intelligence</w:t>
      </w:r>
    </w:p>
    <w:p>
      <w:pPr>
        <w:pStyle w:val="TextBody"/>
        <w:shd w:fill="FFFFFF" w:val="clear"/>
        <w:bidi w:val="0"/>
        <w:spacing w:before="0" w:after="0"/>
        <w:ind w:left="36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AV — </w:t>
      </w:r>
      <w:r>
        <w:rPr>
          <w:rFonts w:ascii="Times New Roman;Times;Serif" w:hAnsi="Times New Roman;Times;Serif"/>
          <w:b w:val="false"/>
          <w:i w:val="false"/>
          <w:caps w:val="false"/>
          <w:smallCaps w:val="false"/>
          <w:sz w:val="20"/>
        </w:rPr>
        <w:t>Autonomous Vehicle</w:t>
      </w:r>
    </w:p>
    <w:p>
      <w:pPr>
        <w:pStyle w:val="TextBody"/>
        <w:shd w:fill="FFFFFF" w:val="clear"/>
        <w:bidi w:val="0"/>
        <w:spacing w:before="0" w:after="0"/>
        <w:ind w:left="36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GHG — </w:t>
      </w:r>
      <w:r>
        <w:rPr>
          <w:rFonts w:ascii="Times New Roman;Times;Serif" w:hAnsi="Times New Roman;Times;Serif"/>
          <w:b w:val="false"/>
          <w:i w:val="false"/>
          <w:caps w:val="false"/>
          <w:smallCaps w:val="false"/>
          <w:sz w:val="20"/>
        </w:rPr>
        <w:t>Greenhouse Gases</w:t>
      </w:r>
    </w:p>
    <w:p>
      <w:pPr>
        <w:pStyle w:val="TextBody"/>
        <w:shd w:fill="FFFFFF" w:val="clear"/>
        <w:bidi w:val="0"/>
        <w:spacing w:before="0" w:after="0"/>
        <w:ind w:left="36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GPS — </w:t>
      </w:r>
      <w:r>
        <w:rPr>
          <w:rFonts w:ascii="Times New Roman;Times;Serif" w:hAnsi="Times New Roman;Times;Serif"/>
          <w:b w:val="false"/>
          <w:i w:val="false"/>
          <w:caps w:val="false"/>
          <w:smallCaps w:val="false"/>
          <w:sz w:val="20"/>
        </w:rPr>
        <w:t>Global Positioning System</w:t>
      </w:r>
    </w:p>
    <w:p>
      <w:pPr>
        <w:pStyle w:val="TextBody"/>
        <w:shd w:fill="FFFFFF" w:val="clear"/>
        <w:bidi w:val="0"/>
        <w:spacing w:before="0" w:after="0"/>
        <w:ind w:left="36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GPU — </w:t>
      </w:r>
      <w:r>
        <w:rPr>
          <w:rFonts w:ascii="Times New Roman;Times;Serif" w:hAnsi="Times New Roman;Times;Serif"/>
          <w:b w:val="false"/>
          <w:i w:val="false"/>
          <w:caps w:val="false"/>
          <w:smallCaps w:val="false"/>
          <w:sz w:val="20"/>
        </w:rPr>
        <w:t>Graphical Processing Unit</w:t>
      </w:r>
    </w:p>
    <w:p>
      <w:pPr>
        <w:pStyle w:val="TextBody"/>
        <w:shd w:fill="FFFFFF" w:val="clear"/>
        <w:bidi w:val="0"/>
        <w:spacing w:before="0" w:after="0"/>
        <w:ind w:left="36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IMU — </w:t>
      </w:r>
      <w:r>
        <w:rPr>
          <w:rFonts w:ascii="Times New Roman;Times;Serif" w:hAnsi="Times New Roman;Times;Serif"/>
          <w:b w:val="false"/>
          <w:i w:val="false"/>
          <w:caps w:val="false"/>
          <w:smallCaps w:val="false"/>
          <w:sz w:val="20"/>
        </w:rPr>
        <w:t>Inertial Measurement Unit</w:t>
      </w:r>
    </w:p>
    <w:p>
      <w:pPr>
        <w:pStyle w:val="TextBody"/>
        <w:shd w:fill="FFFFFF" w:val="clear"/>
        <w:bidi w:val="0"/>
        <w:spacing w:before="0" w:after="0"/>
        <w:ind w:left="36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LIDAR — </w:t>
      </w:r>
      <w:r>
        <w:rPr>
          <w:rFonts w:ascii="Times New Roman;Times;Serif" w:hAnsi="Times New Roman;Times;Serif"/>
          <w:b w:val="false"/>
          <w:i w:val="false"/>
          <w:caps w:val="false"/>
          <w:smallCaps w:val="false"/>
          <w:sz w:val="20"/>
        </w:rPr>
        <w:t>A digital sensor for measuring distance to objects which uses the principle of radar, but uses light from a laser</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ODD — </w:t>
      </w:r>
      <w:r>
        <w:rPr>
          <w:rFonts w:ascii="Times New Roman;Times;Serif" w:hAnsi="Times New Roman;Times;Serif"/>
          <w:b w:val="false"/>
          <w:i w:val="false"/>
          <w:caps w:val="false"/>
          <w:smallCaps w:val="false"/>
          <w:sz w:val="20"/>
        </w:rPr>
        <w:t>Operating Design Domain describes the specific operating conditions in which the automated driving system is designed to properly operate, including but not limited to roadway types, speed range, and environmental conditions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Reverse Logistics — </w:t>
      </w:r>
      <w:r>
        <w:rPr>
          <w:rFonts w:ascii="Times New Roman;Times;Serif" w:hAnsi="Times New Roman;Times;Serif"/>
          <w:b w:val="false"/>
          <w:i w:val="false"/>
          <w:caps w:val="false"/>
          <w:smallCaps w:val="false"/>
          <w:sz w:val="20"/>
        </w:rPr>
        <w:t>A type of supply chain management that moves goods from customers back to the sellers or manufacturers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Company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 a mission to deliver a sustainable future by transforming how goods move among people.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has developed an advanced, AI-powered robotics mobility platform, with last mile delivery in cities as its first application. According to the Bureau of Transportation Statistics (2017), 45% of car trips are taken for shopping and errands, while FedEx has stated that over 60% of merchants’ customers live within three miles of a store location (2019). By eliminating unnecessary car traffic, and by reducing the cost of last mile transportation, Serve aims to reshape cities into sustainable, safe, and people-friendly environments, with thriving local economies.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first product is a low-emissions robot that serves people in public spaces, starting with food delivery. In 2017, our core technology development began by our co-founders and a growing product and engineering team. In 2020, the team launched a fleet of sidewalk delivery robots (hereafter simply referred to as “delivery robots”) in Los Angeles performing contactless restaurant deliveries during the COVID-19 pandemic shutdowns. By the end of that year, Serve robots had successfully completed over 10,000 commercial deliveries for Postmates in California, augmenting Postmates’ fleet of human couriers.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spin-off in 2021, Serve established a commercial partnership with Uber, with deliveries starting in January 2022 at a small scale. In May 2022, Uber announced a pilot program with Serve, and by June, it executed a commercial-scale agreement with Serve to deploy up to 2,000 of its robots across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current fleet consists of over 100 robots, and we plan to expand our fleet by building and deploying hundreds of new robots in coming years after raising additional rounds of financing. Our goal is to deploy all 2,000 Uber robots by the end of 2025, though the exact timing and robot quantity will be determined by future capital availability. We currently do not expect to be able to build and deploy robots in 2024 based on our existing capital. We have platform-level integrations with Uber Eats and 7-Eleven, Inc. in Los Angeles, California, which means Serve robots can provide real-time presence and status updates on those platforms and receive requests to perform deliveries with respect to customer orders placed on those platforms as needed. We have also successfully conducted pilots for Walmart, a major pizza quick service restaurant, and a major coffee shop chain. To date, Uber Eats is the only partner for whom we have completed a material number of deliveries. Our strategic investors include NVIDIA, Uber, 7-Ventures and Delivery Hero’s corporate venture units, alongside other world-class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Serve started within a food delivery company, our team comes with an unparalleled depth of expertise in food delivery. Additionally, the engineering team has extensive experience in AI, automation and robotics. Our leadership team includes veterans from Uber, Postmates, Waymo, Apple Inc., Blue Origin, LLC, GoPro, Inc., GoDaddy Inc., and Anki, Inc. Our expertise uniquely positions us to service the ever-growing on-demand delivery market, including food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proprietary historical delivery data, approximately half of all delivery distances in the United States are less than 2.5 miles and well-suited to delivery by sidewalk robots. We provide a robotic delivery experience that delights customers, improves reliability for merchants and reduces traffic congestion and vehicle emissions. Moreover, at scale we expect our robots will complete deliveries at lower cost than human couriers, making on-demand delivery more affordable and accessible in the areas in which we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Last Mile Delivery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 technological innovations of the past few decades as well as growing adoption of online commerce and home delivery, last mile delivery has remained costly and inefficient. By our own estimate, issues such as refunds and crediting caused by driver error (e.g., failed deliveries or missing items) and fraud increase average delivery cost by over $1.00 per delivery. In 2022, DoorDash, the largest food delivery platform in the United States, reported 35% revenue growth while net losses increased over 190%.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on-demand delivery, next-day parcel delivery has also struggled with last mile cost. For example, in May 2023, Amazon announced a program to reduce its delivery costs by offering customers $10 to pick up items from nearby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Tailwinds for Automation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an ever-growing share of consumers is shopping online and demanding faster deliveries, a number of factors have contributed to keeping last mile costs high: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Labor shortages caused by the aging population and the COVID-19 pandemic have led to wage inflation.</w:t>
            </w:r>
          </w:p>
        </w:tc>
      </w:tr>
    </w:tbl>
    <w:p>
      <w:pPr>
        <w:pStyle w:val="TextBody"/>
        <w:bidi w:val="0"/>
        <w:spacing w:before="0" w:after="0"/>
        <w:ind w:left="0" w:right="0" w:firstLine="1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On-demand delivery companies in many jurisdictions are battling regulatory pressures to classify gig workers as employees, which would in turn increase labor costs.</w:t>
            </w:r>
          </w:p>
        </w:tc>
      </w:tr>
    </w:tbl>
    <w:p>
      <w:pPr>
        <w:pStyle w:val="TextBody"/>
        <w:bidi w:val="0"/>
        <w:spacing w:before="0" w:after="0"/>
        <w:ind w:left="0" w:right="0" w:firstLine="1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More recently, cities across the United States have introduced maximum limits on how much delivery platforms can charge restaurants and merchants, highlighting the need to lower underlying delivery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cost inflation and regulatory pressures serve as tailwinds that are expected to accelerate the adoption of automated robotic last mile delivery. While labor costs typically increase over time, hardware and technology costs typically decrease. We expect the cost of cameras, GPU processors, electric motors, batteries, and advanced sensors such as LIDAR to continue to decrease, while mobile networks will become faster and more reliable with higher bandwidth and geographic coverage, which will lead to a downward trend in the cost of building and operating robots.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Robots, Aerial Drones and Autonomous Vehicle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vary by distance, cargo size, cargo sensitivity and timing requirements, among other factors. Today, most next-day parcels are delivered using trucks, while on-demand food delivery largely takes place in personal vehicles. Overall, a small percentage of short distance deliveries are performed on bicycles.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automation is introduced, different automated technologies will be best suited for different deliveries.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rapidly over the coming years. Robots are best suited for short distance deliveries in populated environments and drones are best suited for longer distances and less populated areas. When different automated vehicles emerge at scale, we expect to see a considerable share of deliveries completed using multiple technologies collaboratively.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while aerial drones may provide faster delivery experience across longer distances and less populated areas, they face many challenges when it comes to picking up orders from many restaurants located in densely populated areas: safety concerns to sidewalk pedestrians, noise pollution, and lack of availability of dedicated real estate at every store front, among others. Instead, we expect delivery robots will be able to pick up items on busy streets and urban environments, and deliver them to a drone at a nearby hand-off location. While in motion, a battery-powered delivery robot often generates less noise and carries considerably less kinetic energy than a flying drone. By blending with existing infrastructure without introducing significant noise or safety concerns, delivery robots may enable drones to access items in the most populated spaces that may otherwise be challenging for drones to access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when AVs become commercially viable, they will face challenges accessing merchants on congested streets where parking is limited. Restaurant waiting staff are often too busy to walk to the nearest available parking space to load an AV. We expect delivery robots will facilitate this process and help accelerate the adoption of AVs by allowing them to commercialize within existing urban infrastructures.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delivery robots, aerial drones and AVs are each efficacious for deliveries with different attributes, and all three will work collaboratively to create the most efficient automated last mile delivery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Robot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sidewalk delivery robots start each day at a central hub located near their operating area. Employees at the hub prepare robots for dispatch every morning by ensuring robots are cleaned, regular maintenance items are performed, and robots pass daily diagnostic tests. While most robots deploy to and return from their operating area automatically and without further vehicular assistance, some robots may be transported to and from operating areas that are further away in a human-driven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the field, we estimate that Serve robots are able to navigate over 80% of their environment autonomously. They are supervised through mobile connectivity and video streaming by remote human operators who can assist robots when necessary, such as at intersection crossings or when robots are unable to navigate certain conditions (e.g., blocked paths, construction zones, etc.). In less frequent occasions, if a robot requires physical assistance, such as when a robot is too low on battery to return home or if it has been damaged, a nearby employee is dispatched to repair or return the robot. The majority of robots return to base without any physical assistance each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day, each robot receives a series of delivery orders from partnered merchants and delivery platforms. Upon acceptance of any such order, the robot navigates to the pick-up location, waits outside, and notifies merchant staff, often through their existing delivery tablets or point-of-sale devices. Once the merchant staff load the package into the robot, it navigates to its drop-off destination. A similar sequence of events results in customers meeting the robot at the curb, unlocking its cargo using their delivery app or on-screen instructions, and retrieving their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night, robots return to their central hub to be recharged, maintained, upgraded when necessary, and prepared for next morning’s deployment. Also, various robot components are occasionally replaced due to wear and tear (e.g., tires, motors and batteries). Other components such as computers and key sensors like LIDAR have multi-year lifespans and are rarely replaced. Overall, the useful life of a robot is measured in years, as calculated based on the average lifespan of individual components weighted by their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Sidewalk delivery robots have inherent limitations on how much cargo they can carry and how quickly they can move given the constraints of the sidewalk environment. Current Serve robots carry up to 50 lbs and can move at a maximum speed of 7 mph. This imposes limits on addressable deliveries, travel time, and rate of utilization of robots. For example, due to their speed, delivery robots are best suited for short-distance deliveries, though the majority of restaurant deliveries in the United States are under 2.5 miles and thus within the delivery range of sidewalk robots. Additionally, given the expected customer delivery wait time of 30 minutes, food delivery robots operating 12 hours per day could perform a maximum of 20 to 30 deliveries per day, depending on the rate of batched deliveries.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Impact of Robotic Delivery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automation decreases the cost of last mile delivery and leads to increased adoption, we anticipate significant opportunities for impact: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GHG Emissions: Robots and drones can substantially reduce emissions caused by large vehicles used today for moving small packages.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Lower Delivery Costs: While all automated delivery vehicles still require a certain amount of human involvement (e.g., loading &amp; unloading, maintenance, remote supervision), the labor is leveraged more efficiently resulting in more deliveries per unit of human effort. Just as automation has done in the past, it is expected that this will significantly reduce delivery costs.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Increased On-Demand Adoption: On-demand services are largely luxuries afforded by affluent consumers today. Reducing delivery costs could make home delivery services affordable to more people.</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Easier Reverse Logistics: Reducing the cost for last mile transportation is likely to increase adoption of reverse logistics applications as well (e.g., more convenience package returns).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More Local Commerce: We expect that the increased adoption of home delivery will result in more commerce for local businesses. When the cost of delivering a product from a local store is no more than ordering from a centralized warehouse, and the local order could arrive within minutes rather than days, we believe more consumers will choose to shop locally.</w:t>
            </w:r>
          </w:p>
        </w:tc>
      </w:tr>
    </w:tbl>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faster and cheaper local deliveries as well as easier and more cost-effective reverse logistics will likely result in new consumer behaviors and increased use of online commerce. For example, a customer ordering a pair of shoes from Amazon may wait several days only to receive an ill-fitting pair that must be returned while they wait more days for the next pair. In contrast, a customer ordering shoes from a local store could have three pairs of varying sizes delivered to their front door by a robot within an hour. They may try them on, pick the best fitting pair, and leave the other pairs in the robot to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More Local Jobs</w:t>
            </w:r>
            <w:r>
              <w:rPr/>
              <w:t>: Increased adoption of on-demand services, increased local commerce activities, new applications for home delivery and reverse logistics, and new consumer behaviors are expected to lead to more local jobs, ranging from increased staffing of local businesses to service additional demand, logistics operators who enable automated delivery networks to function, and human couriers who perform deliveries that automated services cannot perform. A similar impact was observed upon the introduction of Automated Teller Machines (ATMs) in banking, when the reduced cost of banking caused by automation resulted in an influx of new bank customers, which in turn resulted in more bank teller jobs being created to serve those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Higher Delivery Quality</w:t>
            </w:r>
            <w:r>
              <w:rPr/>
              <w:t>: Like most automated systems, robots are less prone to error. For example, customers of food delivery platforms often experience missing items, mistaken orders, and lost or missed deliveries altogether. Robots promise to reduce such errors, creating a better experience for customers and merchants alike.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Safer Roads</w:t>
            </w:r>
            <w:r>
              <w:rPr/>
              <w:t>: According to the National Highway Traffic Safety Administration, there were 6,516 pedestrians and 932 cyclists killed in motor vehicle crashes in 2020 in the United States. This represents a 4% increase in pedestrian deaths and a 4.5% increase in bicyclist deaths from 2019. The deaths accounted for 19% of all traffic fatalities in the United States in 2020. In addition to the fatalities, there were also an estimated 54,769 pedestrians and 38,886 cyclists injured in motor vehicle crashes in 2020. These injuries can be serious and life-changing, and they can also have a significant financial impact on the victims and their families. There are many factors that contribute to pedestrian and bicyclist fatalities and injuries, including: speeding, distracted driving, drunk driving, and aggressive driving.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robots weigh significantly less and move at lower speeds than cars; as a result, on average, a single car carries over a thousand times more kinetic energy than a single robot. We anticipate that replacing cars with delivery robots could result in safer cities for pedestrians and cyclists.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Friendlier Cities</w:t>
            </w:r>
            <w:r>
              <w:rPr/>
              <w:t>: Today it is estimated that as much as one half of city land area in the United States is dedicated to streets, parking lots, driveways, and other car-related uses according to the University of Michigan. With mass adoption of automated last mile delivery vehicles, such as robots and drones, more spaces in cities can be reclaimed from vehicles and used to create social and green spaces.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robotic technology has been developed based on the following key principles: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b/>
              </w:rPr>
              <w:t>Humans and Machines</w:t>
            </w:r>
            <w:r>
              <w:rPr/>
              <w:t>: We believe that the most effective way to quickly unleash the benefits of AI and autonomy in our lives is by designing solutions that leverage both human and machine intelligence in ways that collaborate and complement each other. Creating fully autonomous machines that are safe and reliable without any human intervention requires substantially more time and capital investment than creating machines that are mostly automated but can rely on occasional human support, especially when it comes to high consequence safety-critical decisions.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b/>
              </w:rPr>
              <w:t>Labor-Optimized</w:t>
            </w:r>
            <w:r>
              <w:rPr/>
              <w:t>: We believe the cost of advanced sensors and hardware will continue to decrease over the coming years, and optimizing against such costs can be premature and an investment with diminishing long term returns. Instead, we have continued to innovate by designing uniquely capable hardware and software solutions for robotic last mile delivery that optimize against the largest cost of delivery: labor.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3.</w:t>
            </w:r>
          </w:p>
        </w:tc>
        <w:tc>
          <w:tcPr>
            <w:tcW w:w="10002" w:type="dxa"/>
            <w:tcBorders/>
            <w:vAlign w:val="center"/>
          </w:tcPr>
          <w:p>
            <w:pPr>
              <w:pStyle w:val="TableContents"/>
              <w:bidi w:val="0"/>
              <w:spacing w:before="0" w:after="283"/>
              <w:jc w:val="both"/>
              <w:rPr/>
            </w:pPr>
            <w:r>
              <w:rPr>
                <w:b/>
              </w:rPr>
              <w:t>Robots Among People</w:t>
            </w:r>
            <w:r>
              <w:rPr/>
              <w:t>: We believe that building world-class hardware, software, AI and autonomy for robots to share spaces with people is how we are uniquely positioned to build market value and create a lasting legacy.</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4.</w:t>
            </w:r>
          </w:p>
        </w:tc>
        <w:tc>
          <w:tcPr>
            <w:tcW w:w="9987" w:type="dxa"/>
            <w:tcBorders/>
            <w:vAlign w:val="center"/>
          </w:tcPr>
          <w:p>
            <w:pPr>
              <w:pStyle w:val="TableContents"/>
              <w:bidi w:val="0"/>
              <w:spacing w:before="0" w:after="283"/>
              <w:jc w:val="both"/>
              <w:rPr/>
            </w:pPr>
            <w:r>
              <w:rPr>
                <w:b/>
              </w:rPr>
              <w:t>Robotic Platform</w:t>
            </w:r>
            <w:r>
              <w:rPr/>
              <w:t>: Our mission is to build a superior robotic platform that can accelerate the adoption of robotic solutions beyond last mile delivery.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key highlights of our approach to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Artificial Intelligence</w:t>
      </w:r>
      <w:r>
        <w:rPr>
          <w:rFonts w:ascii="Times New Roman;Times;Serif" w:hAnsi="Times New Roman;Times;Serif"/>
          <w:b w:val="false"/>
          <w:i w:val="false"/>
          <w:caps w:val="false"/>
          <w:smallCaps w:val="false"/>
          <w:sz w:val="20"/>
        </w:rPr>
        <w:t xml:space="preserve"> — AI empowers Serve robots to navigate city sidewalks and interact with their environment safely and efficiently. We use the latest AI methodologies to design, train and deploy a host of models on Serve robots. Currently, our AI models are used to perform a variety of tasks, including identification of sidewalk surfaces, intersections, traffic signals, obstacles, pedestrians and vehicles, and projecting the trajectory of other dynamic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last six years of development, we have continued to create AI models with new capabilities, while improving the performance of existing models. We expect to continue developing increasingly more capable AI models to improve robots’ performance and differentiate Serve from alternative products and solutions. As the broader field of Artificial Intelligence advances, we expect to benefit from such advances by increasing efficiency and effectiveness of our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Level 4 Autonomy</w:t>
      </w:r>
      <w:r>
        <w:rPr>
          <w:rFonts w:ascii="Times New Roman;Times;Serif" w:hAnsi="Times New Roman;Times;Serif"/>
          <w:b w:val="false"/>
          <w:i w:val="false"/>
          <w:caps w:val="false"/>
          <w:smallCaps w:val="false"/>
          <w:sz w:val="20"/>
        </w:rPr>
        <w:t xml:space="preserve"> — In January 2022, we announced the deployment of a new generation of delivery robots capable of operating at Level 4 autonomy.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124450" cy="274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4450" cy="27432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4 autonomous robots can drive without humans in the loop for periods of time while they are operating in their intended operating environments (also known as “ODDs”). Specifically, Serve robots are capable of driving autonomously on certain sidewalks without a remote human supervisor having to oversee their movement. This capability makes it possible to operate our robots at lower cost than remotely operated robots used by our competitors, because it enables a single remote operator to simultaneously perform multiple deliveries.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estimate that Serve robots can autonomously navigate over 80% of their operating environment with the help of a number of different AI models that detect people, objects and terrains, and predict future state of dynamic actors. Serve robots’ autonomous capabilities enable one remote supervisor to safely monitor up to four moving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Safety </w:t>
      </w:r>
      <w:r>
        <w:rPr>
          <w:rFonts w:ascii="Times New Roman;Times;Serif" w:hAnsi="Times New Roman;Times;Serif"/>
          <w:b w:val="false"/>
          <w:i w:val="false"/>
          <w:caps w:val="false"/>
          <w:smallCaps w:val="false"/>
          <w:sz w:val="20"/>
        </w:rPr>
        <w:t>— Achieving Level 4 autonomy required Serve robots to maintain safety even when operating without supervision. As such, we have designed robust onboard safety systems that rely heavily on Serve’s advanced sensors and AI capabilities. This significantly reduces the possibility of collisions even when the robots are being supervised.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fact, we believe robots that rely heavily on humans for safety are not sufficiently safe, because without automated onboard safety features, humans are prone to error. Also, data networks used for remote supervision frequently fail, slow down or get interrupted. Therefore, over-reliance on error-prone humans and failure-prone data networks makes human-in-the-loop safety inadequate.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current Serve robots are equipped with an extensive array of onboard technologies that ensure safe and reliable operation without over-reliance on humans. Serve robots utilize multiple layers of redundant systems for critical navigation functions, including multiple sensor modalities—active sensors such as LIDAR and ultrasonics, as well as passive sensors such as cameras—to navigate safely on busy city sidewalks. Our robots have a wide range of capabilities, such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Automatic emergency braking</w:t>
            </w:r>
            <w:r>
              <w:rPr/>
              <w:t>: If a remote supervisor mistakenly puts a robot at risk of collision, the robot will automatically override the remote supervisor and come to a stop.</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Vehicle collision avoidance</w:t>
            </w:r>
            <w:r>
              <w:rPr/>
              <w:t>: While Serve robots and their remote supervisors are trained to ensure legal and safe crossing of intersections and driveways, drivers of vehicles can still cause vehicle-to-robot collisions. Similar driver errors cause thousands of fatalities and injuries to pedestrians and cyclists every year. As such, Serve robots are equipped with AI features that assess the risk of collision with nearby vehicles and minimize such risks by taking necessary actions such as stopping prior to a collision.</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Fail-safe mechanical braking</w:t>
            </w:r>
            <w:r>
              <w:rPr/>
              <w:t>: Another unique and innovative capability of Serve robots is their fail-safe emergency braking. No matter how reliable and well tested, batteries, electronics and computer systems occasionally fail. During any such failures, Serve robots automatically come to a full stop through a mechanically designed fail safe braking system. Some robots used by competitors solely rely on electronic braking, which can become ineffective during power or computer failures.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Robot Design — </w:t>
      </w:r>
      <w:r>
        <w:rPr>
          <w:rFonts w:ascii="Times New Roman;Times;Serif" w:hAnsi="Times New Roman;Times;Serif"/>
          <w:b w:val="false"/>
          <w:i w:val="false"/>
          <w:caps w:val="false"/>
          <w:smallCaps w:val="false"/>
          <w:sz w:val="20"/>
        </w:rPr>
        <w:t>As a division of Postmates during Serve’s inception, we had access to millions of historical delivery records. This enabled us to design robots from the ground up based on unique insights about last mile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1552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1552575"/>
                    </a:xfrm>
                    <a:prstGeom prst="rect">
                      <a:avLst/>
                    </a:prstGeom>
                  </pic:spPr>
                </pic:pic>
              </a:graphicData>
            </a:graphic>
          </wp:inline>
        </w:drawing>
      </w:r>
      <w:r>
        <w:rPr>
          <w:caps w:val="false"/>
          <w:smallCaps w:val="false"/>
        </w:rPr>
        <w:t> </w:t>
      </w:r>
      <w:r>
        <w:rPr>
          <w:caps w:val="false"/>
          <w:smallCaps w:val="false"/>
        </w:rPr>
        <w:drawing>
          <wp:inline distT="0" distB="0" distL="0" distR="0">
            <wp:extent cx="1371600" cy="1552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71600" cy="1552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Serve robots consist of a number of key systems: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Drivetrain</w:t>
            </w:r>
            <w:r>
              <w:rPr/>
              <w:t>: Serve’s innovative four-wheel drive system is custom-made for navigating city sidewalks. It includes Ackerman steering similar to road vehicles, emergency fail-safe braking, and a bogie suspension mechanism. Our unique design is a result of years of iteration and field testing.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Rather than a fixed wheelbase, our robots use a bogie that connects the pair of wheels on each side of the robot together via a differential. Relative to the main chassis, each pair of wheels can rotate in opposite directions to maintain full traction on all four wheels regardless of road surface irregularities. As a result, Serve robots can reliably navigate challenging city sidewalks that include tree wells, fallen branches, tree roots and other unexpected obstacles.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bogie design was inspired by the suspension arrangement first developed by NASA in 1988 for the Mars rover </w:t>
      </w:r>
      <w:r>
        <w:rPr>
          <w:rFonts w:ascii="Times New Roman;Times;Serif" w:hAnsi="Times New Roman;Times;Serif"/>
          <w:b w:val="false"/>
          <w:i/>
          <w:caps w:val="false"/>
          <w:smallCaps w:val="false"/>
          <w:sz w:val="20"/>
        </w:rPr>
        <w:t>Sojourner</w:t>
      </w:r>
      <w:r>
        <w:rPr>
          <w:rFonts w:ascii="Times New Roman;Times;Serif" w:hAnsi="Times New Roman;Times;Serif"/>
          <w:b w:val="false"/>
          <w:i w:val="false"/>
          <w:caps w:val="false"/>
          <w:smallCaps w:val="false"/>
          <w:sz w:val="20"/>
        </w:rPr>
        <w:t xml:space="preserve">. Since then, NASA has used similar designs in Mars rovers </w:t>
      </w:r>
      <w:r>
        <w:rPr>
          <w:rFonts w:ascii="Times New Roman;Times;Serif" w:hAnsi="Times New Roman;Times;Serif"/>
          <w:b w:val="false"/>
          <w:i/>
          <w:caps w:val="false"/>
          <w:smallCaps w:val="false"/>
          <w:sz w:val="20"/>
        </w:rPr>
        <w:t>Spirit, Opportunity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Curiosity, </w:t>
      </w:r>
      <w:r>
        <w:rPr>
          <w:rFonts w:ascii="Times New Roman;Times;Serif" w:hAnsi="Times New Roman;Times;Serif"/>
          <w:b w:val="false"/>
          <w:i w:val="false"/>
          <w:caps w:val="false"/>
          <w:smallCaps w:val="false"/>
          <w:sz w:val="20"/>
        </w:rPr>
        <w:t xml:space="preserve">and, most recently </w:t>
      </w:r>
      <w:r>
        <w:rPr>
          <w:rFonts w:ascii="Times New Roman;Times;Serif" w:hAnsi="Times New Roman;Times;Serif"/>
          <w:b w:val="false"/>
          <w:i/>
          <w:caps w:val="false"/>
          <w:smallCaps w:val="false"/>
          <w:sz w:val="20"/>
        </w:rPr>
        <w:t>Perseverance.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Power System</w:t>
            </w:r>
            <w:r>
              <w:rPr/>
              <w:t>: Serve’s custom designed power distribution system and redundant batteries enable it to operate reliably from morning to night without requiring charging or battery swaps. Robots charge within a few hours upon returning to their home station at night.</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Connectivity</w:t>
            </w:r>
            <w:r>
              <w:rPr/>
              <w:t>: Serve robots include redundant LTE modems and antennas that ensure they can consistently connect to cloud services used to dispatch and route their movements, as well as be monitored by remote supervisors.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Sensing &amp; Compute</w:t>
            </w:r>
            <w:r>
              <w:rPr/>
              <w:t>: Serve robots are equipped with an array of cameras, ultrasonic sensors, a pair of stereo cameras, an infrared-based depth sensor, GPS sensors, IMUs, and a 360-degrees LIDAR sensor. Additionally, the robots use multiple CPU and GPU chips to process sensor information, run AI models, perform actions, interact with pedestrians, and connect to the internet.</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Secured Cargo</w:t>
            </w:r>
            <w:r>
              <w:rPr/>
              <w:t>: Serve’s cargo bin is designed for maximum capacity, ease of use, customizability, and operational efficiency. The bin fits two large shopping bags or four large pizzas. During operation the bin remains locked and is only accessible to designated restaurant staff and delivery customers, who can use their delivery app or the PIN pad on the robot’s touchscreen to unlock the cargo. Once the user completes loading or unloading, the cargo lid shuts down and locks automatically, without requiring additional human assistance. Lastly, the cargo space is designed to remain sufficiently clean and operational even if there is liquid spillage. Upon returning to the base, the interior of the bin can be removed for cleaning and sanitization.</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Display and Lights</w:t>
            </w:r>
            <w:r>
              <w:rPr/>
              <w:t>: In order to create a user-friendly experience for merchants and customers that requires no training or onboarding, as well as to create a friendly and positive experience for pedestrians and other sidewalk users, Serve’s design includes a touchscreen display for indicating robot status and providing instructions. The design also includes a number of functional lights, including a light ring around the bin, brake lights, front headlights, and a pair of circular eyes for expressing intentions and anthropomorphizing the robots.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Stage of Development — </w:t>
      </w:r>
      <w:r>
        <w:rPr>
          <w:rFonts w:ascii="Times New Roman;Times;Serif" w:hAnsi="Times New Roman;Times;Serif"/>
          <w:b w:val="false"/>
          <w:i w:val="false"/>
          <w:caps w:val="false"/>
          <w:smallCaps w:val="false"/>
          <w:sz w:val="20"/>
        </w:rPr>
        <w:t>Though still early in their development maturity cycle, Serve robots are the result of over six years of engineering and development. Every day, we continue to work on improving our robots’ capabilities, including making them faster, safer, smarter and more affordable.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list of Serve robots’ current specifications:</w:t>
      </w:r>
    </w:p>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055"/>
        <w:gridCol w:w="4250"/>
      </w:tblGrid>
      <w:tr>
        <w:trPr/>
        <w:tc>
          <w:tcPr>
            <w:tcW w:w="1055" w:type="dxa"/>
            <w:tcBorders/>
            <w:vAlign w:val="center"/>
          </w:tcPr>
          <w:p>
            <w:pPr>
              <w:pStyle w:val="TableContents"/>
              <w:bidi w:val="0"/>
              <w:spacing w:before="0" w:after="283"/>
              <w:jc w:val="left"/>
              <w:rPr/>
            </w:pPr>
            <w:r>
              <w:rPr/>
              <w:t>Speed</w:t>
            </w:r>
          </w:p>
        </w:tc>
        <w:tc>
          <w:tcPr>
            <w:tcW w:w="4250" w:type="dxa"/>
            <w:tcBorders/>
            <w:vAlign w:val="center"/>
          </w:tcPr>
          <w:p>
            <w:pPr>
              <w:pStyle w:val="TableContents"/>
              <w:bidi w:val="0"/>
              <w:spacing w:before="0" w:after="283"/>
              <w:jc w:val="left"/>
              <w:rPr/>
            </w:pPr>
            <w:r>
              <w:rPr/>
              <w:t>7 mph (max)</w:t>
            </w:r>
          </w:p>
        </w:tc>
      </w:tr>
      <w:tr>
        <w:trPr/>
        <w:tc>
          <w:tcPr>
            <w:tcW w:w="1055" w:type="dxa"/>
            <w:tcBorders/>
            <w:vAlign w:val="center"/>
          </w:tcPr>
          <w:p>
            <w:pPr>
              <w:pStyle w:val="TableContents"/>
              <w:bidi w:val="0"/>
              <w:spacing w:before="0" w:after="283"/>
              <w:jc w:val="left"/>
              <w:rPr/>
            </w:pPr>
            <w:r>
              <w:rPr/>
              <w:t>Range</w:t>
            </w:r>
          </w:p>
        </w:tc>
        <w:tc>
          <w:tcPr>
            <w:tcW w:w="4250" w:type="dxa"/>
            <w:tcBorders/>
            <w:vAlign w:val="center"/>
          </w:tcPr>
          <w:p>
            <w:pPr>
              <w:pStyle w:val="TableContents"/>
              <w:bidi w:val="0"/>
              <w:spacing w:before="0" w:after="283"/>
              <w:jc w:val="left"/>
              <w:rPr/>
            </w:pPr>
            <w:r>
              <w:rPr/>
              <w:t>23 miles, 10 hours</w:t>
            </w:r>
          </w:p>
        </w:tc>
      </w:tr>
      <w:tr>
        <w:trPr/>
        <w:tc>
          <w:tcPr>
            <w:tcW w:w="1055" w:type="dxa"/>
            <w:tcBorders/>
            <w:vAlign w:val="center"/>
          </w:tcPr>
          <w:p>
            <w:pPr>
              <w:pStyle w:val="TableContents"/>
              <w:bidi w:val="0"/>
              <w:spacing w:before="0" w:after="283"/>
              <w:jc w:val="left"/>
              <w:rPr/>
            </w:pPr>
            <w:r>
              <w:rPr/>
              <w:t>Weather</w:t>
            </w:r>
          </w:p>
        </w:tc>
        <w:tc>
          <w:tcPr>
            <w:tcW w:w="4250" w:type="dxa"/>
            <w:tcBorders/>
            <w:vAlign w:val="center"/>
          </w:tcPr>
          <w:p>
            <w:pPr>
              <w:pStyle w:val="TableContents"/>
              <w:bidi w:val="0"/>
              <w:spacing w:before="0" w:after="283"/>
              <w:jc w:val="left"/>
              <w:rPr/>
            </w:pPr>
            <w:r>
              <w:rPr/>
              <w:t>Light Rain, 32-104°F</w:t>
            </w:r>
          </w:p>
        </w:tc>
      </w:tr>
      <w:tr>
        <w:trPr/>
        <w:tc>
          <w:tcPr>
            <w:tcW w:w="1055" w:type="dxa"/>
            <w:tcBorders/>
            <w:vAlign w:val="center"/>
          </w:tcPr>
          <w:p>
            <w:pPr>
              <w:pStyle w:val="TableContents"/>
              <w:bidi w:val="0"/>
              <w:spacing w:before="0" w:after="283"/>
              <w:jc w:val="left"/>
              <w:rPr/>
            </w:pPr>
            <w:r>
              <w:rPr/>
              <w:t>Autonomy</w:t>
            </w:r>
          </w:p>
        </w:tc>
        <w:tc>
          <w:tcPr>
            <w:tcW w:w="4250" w:type="dxa"/>
            <w:tcBorders/>
            <w:vAlign w:val="center"/>
          </w:tcPr>
          <w:p>
            <w:pPr>
              <w:pStyle w:val="TableContents"/>
              <w:bidi w:val="0"/>
              <w:spacing w:before="0" w:after="283"/>
              <w:jc w:val="left"/>
              <w:rPr/>
            </w:pPr>
            <w:r>
              <w:rPr/>
              <w:t>&gt;80% Autonomy Capability</w:t>
            </w:r>
          </w:p>
        </w:tc>
      </w:tr>
      <w:tr>
        <w:trPr/>
        <w:tc>
          <w:tcPr>
            <w:tcW w:w="1055" w:type="dxa"/>
            <w:tcBorders/>
            <w:vAlign w:val="center"/>
          </w:tcPr>
          <w:p>
            <w:pPr>
              <w:pStyle w:val="TableContents"/>
              <w:bidi w:val="0"/>
              <w:spacing w:before="0" w:after="283"/>
              <w:jc w:val="left"/>
              <w:rPr/>
            </w:pPr>
            <w:r>
              <w:rPr/>
              <w:t>Cargo</w:t>
            </w:r>
          </w:p>
        </w:tc>
        <w:tc>
          <w:tcPr>
            <w:tcW w:w="4250" w:type="dxa"/>
            <w:tcBorders/>
            <w:vAlign w:val="center"/>
          </w:tcPr>
          <w:p>
            <w:pPr>
              <w:pStyle w:val="TableContents"/>
              <w:bidi w:val="0"/>
              <w:spacing w:before="0" w:after="283"/>
              <w:jc w:val="left"/>
              <w:rPr/>
            </w:pPr>
            <w:r>
              <w:rPr/>
              <w:t>13 GAL (2 Lg Shopping Bags, 4 Lg Pizzas)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robots are designed to operate in common environmental conditions in each operating market. Currently we limit Serve’s operation to warm and dry climates, and do not operate robots under rare or extreme conditions such as strong storms or unusually high or low temperatures.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additional financing required for further development, we expect each new generation of robots to continually expand their operating envelope (e.g., introducing the ability to manage ice and snow), which in turn expands our market reach. Our roadmap includes a new generation of robots launched in 2024 (assuming availability of sufficient capital) that includes faster drivetrain, increased battery life, increased range of temperature and rain tolerance, and more. The efforts towards the new robot generation began earlier this year and will require continued financing to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Development Process —</w:t>
      </w:r>
      <w:r>
        <w:rPr>
          <w:rFonts w:ascii="Times New Roman;Times;Serif" w:hAnsi="Times New Roman;Times;Serif"/>
          <w:b w:val="false"/>
          <w:i w:val="false"/>
          <w:caps w:val="false"/>
          <w:smallCaps w:val="false"/>
          <w:sz w:val="20"/>
        </w:rPr>
        <w:t xml:space="preserve"> Our development efforts began in 2017 with extensive market research. Using proprietary historical Postmates delivery data, we ran thousands of simulation scenarios to define desirable robot specifications, best deployment and operation models, as well as go-to market strategies to achieve the most efficient, low-cost and scalable last-mile robotic delivery. The resulting specifications led to the development of prototype robots that were quickly deployed in San Francisco and Los Angeles to learn from real-life operations while serving customers and merchants.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every subsequent robot generation and incremental software improvement starts with prototyping, followed by iterative rounds of testing and developments. Prior to deployment, we perform extensive quality assurance testing using an expanding array of predefined validation tests, online simulations, and in-house testing facilities. The validation tests include safety verifications to ensure any new software or hardware is capable of matching or exceeding pre-defined safety standards. When safety verifications fail, additional cycles of development and testing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robots pass pre-deployment testing, a small-scale deployment test is initiated with a representative set of robots. Upon collecting sufficient amounts of performance metrics, the final go/no-go decision is made on whether any new software or hardware will be deployed across the entire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and development process is also informed by regulatory requirements in certain geographies, such as a number of states and municipalities, that have implemented permitting frameworks for robotic delivery. The requirements include limits to robot weight, speed, operating conditions, availability of lights and identifying labels, etc. Lastly, there are also hardware design requirements around electromagnetic radiations and battery safety that are considered during the design and development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new generation of hardware that introduces changes to relevant components, we build an initial set of evaluation units and use them to obtain necessary certifications. Currently, such hardware certification requirements for sidewalk robots in the United States include FCC 47 CFR 15 for Radio Frequency Devices, and UN 38.3 and IEC 62133-2 for battery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Manufacturing —</w:t>
      </w:r>
      <w:r>
        <w:rPr>
          <w:rFonts w:ascii="Times New Roman;Times;Serif" w:hAnsi="Times New Roman;Times;Serif"/>
          <w:b w:val="false"/>
          <w:i w:val="false"/>
          <w:caps w:val="false"/>
          <w:smallCaps w:val="false"/>
          <w:sz w:val="20"/>
        </w:rPr>
        <w:t xml:space="preserve"> Our robots are designed by Serve’s high caliber team of mechanical, electrical, and system engineers to not only meet product requirements but also supply availability of components and manufacturing and assembly for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components are widely available in supply and/or fabricated from raw materials using common manufacturing processes including machining, molding, stamping, and additive manufacturing from multiple sources. However, certain highly complex components are obtained from single or limited sources that we may have to compete for with other participants in the robotics, consumer electronics, and automotive markets. Therefore, these components can be at times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and Ouster, Inc., in addition to vendors providing cameras, ultrasonic sensors, electronic motors, and modems. To mitigate such supply risks, we routinely search for more available alternatives and/or enter into strategic partnerships and agreements to secure pricing and supply of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manufacturing and assembly of robots take place by a third-party contract manufacturer after component supply has been secured. We have proven, first-hand experience designing and assembling multiple generations of Serve robots and we believe our designs are highly manufacturable for contract manufacturers to outsource. Therefore, we are not dependent on any particular outsourcing partner and we are, instead, able to vet top tier contract manufacturers for their DFM (Design for Manufacturing) capabilities and leverage their existing scale to assemble robots in the most cost-effective and timely manner. This typically starts with SMT (Surface Mount Technology) pick and place machines to assemble PCBAs (Printed Circuit Board Assemblies) in batches followed by FATP (Final Assembly Test &amp; Pack) on all the remaining components by subassemblies into fully completed robots before being shipped out and deployed into 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recent batch of Serve robots was assembled by a tier 1 contract manufacturer in California within a few months and came in at our highest yield and throughput, all at a manufacturing cost that makes up a small fraction of our total robot cost. This speaks to our ability to design and execute with all our component suppliers and contract manufacturers and we expect to improve even further as we scale with higher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use contract manufacturing partners to build future robots. Our goal is to secure adequate funding and resources to begin scaling our fleet starting with a fleet of 2,000 robots deployed for Uber before the end of 2025. We currently do not expect to be able to build and deploy robots in 2024 based on our existing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 Lease Agreement with Farnam Street Financial, Inc. (“Farnam Street”) dated as of June 6, 2022 (the “Farnam Lease”), pursuant to which we lease the hardware of our robots. The Farnam Lease has an initial term of 24 months. Pursuant to the Farnam Lease we have a purchase option allowing us to purchase the equipment subject to the Farnam Lease on the last day of the initial lease term, in whole and not in part, for either 40% of the original equipment cost, plus applicable taxes, or at a mutually-agreed upon purchase price not to exceed 40% of the original equipment cost. The Farnam Lease also includes a right of first refusal requiring us to notify Farnam of any bona fide offer from a third party to lease robots from us (a “Third-Party Offer’) which we intend to accept. Prior to accepting such an offer, we must make an offer to Farnam on the same terms and conditions as the Third-Party Offer. This right of first refusal expires concurrently with the Farnam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Robots That Win Hearts and Minds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technologies often face initial resistance and skepticism before becoming widely accepted. We believe delivery robots are no exception. As such, we have invested significant time and effort in creating robots that would be welcomed by society. Our years of commercial operations to date suggest we are on track to accomplish our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make robots acceptable by the public, we set out our design efforts with a number of key objectives: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familiar: Our robot design is inspired by familiar sidewalk objects such as baby strollers and shopping carts. Unfamiliar form factors can elicit strong resistance, whereas familiar-looking robots with blinking eyes and personalized names seem to already belong.</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fresh: First impressions are lasting impressions. Thanks to decades of negative and dystopian portrayal of robots in science fiction, introducing robots to the public requires a strong first impression that would encourage a readjustment in existing preconceptions. One way to achieve this is by creating a robot design that is pleasantly surprising and unexpected, so that it would bring into question whatever fearful or dystopian views one might hold prior to meeting a Serve robot in person.</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deferential: We believe robots are here to serve people, and therefore during everyday interactions on city sidewalks, robots must make every effort to stay respectful and compliant of people they share space with. For example, when their motion trajectory conflicts with a person, robots should always yield and prioritize people.</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Be considerate: Sidewalks are a shared space where people from every walk of life, language, and physical ability come together. Robots must be designed with all users of public spaces in mind. For example, while waiting to cross an intersection, our robots are trained to avoid blocking curb ramps needed by wheelchairs.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Serve’s talented design team has applied the above principles as they studied human-robot interactions on sidewalks, and they have created a robot design that stands in a class of its 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six years of research and development investment in AI, autonomy, safety, and efficiency of our robots, we are in a leading position to partner with the world’s largest food delivery platforms, restaurants, retailers, and convenience brands to augment their last-mile human delivery capabilities. Our business model relies on providing partners with a complete end-to-end delivery solution and charging a fee per delivery—or per hour depending on the type of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robots can perform other value-add tasks while in operation, and capture additional revenues. For example, in 2022 while roughly 50% of our revenue was generated by delivery fees on the Uber Eats platform, the other 50% was generated through branding. Brands have used Out of Home (OOH) branding on transit vehicles since the age of streetcars in the 1800s. Similar to billboards and buses today, brands are placing ads on Serve robots’ exteriors.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additional revenue opportunities from delivery robots in the future. For example, robots can provide a new, more granular and timely data source to mapping providers. They can also enable cities to identify infrastructure problems. As robots become more common, we expect to identify new ways for robots to create value while operating.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revenues from robot branding and other services supplement delivery revenues, and as a result position delivery robots with better economics compared with existing delivery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fleet of robots that perform deliveries for delivery platforms or partnered merchants as either a part of a shared fleet or dedicated, exclusive fleet. For our robots to perform deliveries, they would need to have some level of integration with our partners’ platforms in order to receive an order, determine its suitability for robotic delivery, accept or reject that order, and provide status updates and notifications to the merchants and recipients throughout the course of the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currently active commercial engagements are based on the shared fleet model, whereby a partner sends us their request for robotic delivery and only pays us for those requests we choose to accept and complete. In the current shared fleet model, we have legal custody of the robots and maintain and operate them at all times, receiving payment for performing deliveries and placement of advertising on our robots while incurring all costs and risks relating to the robots and their operation. We may explore other partnership paradigms in the future, such as providing an exclusive fleet to a partner who would maintain and house the robots and pay us a monthly fee for operations and rental of the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signed a commercial agreement with Uber Technologies Inc. Pilot deliveries began in early 2022, which successfully led to the execution of an additional agreement in June 2022 to enable the commercial expansion of our service with up to 2,000 robots across multiple markets. Currently, this is our only large-scale commercial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launched its first-of-a-kind autonomy APIs in August 2022, with Serve as one of its first integrated partners. Since last year, we have completed thousands of deliveries for Uber Eats customers in Los Angeles and continue to expand our operations. Uber is also a strategic investor in Serve and has participated in multiple financing rounds, and as a result it owns a minority stake in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Uber and 7-Eleven, Serve has performed pilots for Walmart at its headquarters in Bentonville, Arkansas, for a major pizza quick service restaurant in Vancouver, Canada, and for a major coffee shop chain in Los Angeles, California. All three pilots were successful in achieving their respective targeted performance criteria and the next phase of our engagement with those parties are subject to further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also in discussions with Delivery Hero, also a strategic investor, to identify suitable markets outside North America to launch their first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Serve is at various stages of discussions with a number of other restaurant brands, restaurant integrator platforms, delivery platforms, and logistics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with a fleet of over 100 robots, we provide robotic delivery to more than 300 restaurants on the Uber Eats platform in a number of neighborhoods in Los Angeles. To date, we have completed tens of thousands of deliveries to Uber Eats customers, with thousands more completed each month and our delivery volume has grown over 30% month-over-month since early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robots’ delivery reliability is most notable. Our proprietary historical delivery data suggest that on average, human couriers fail to complete five or more orders per every 1,000 deliveries (i.e., 99.5% reliability). In contrast, in the most recent month, Serve robots have achieved a delivery reliability as high as 99.94%. Improved delivery quality enhances both customers’ and restaurants’ experiences, and reduces the added cost of refunds caused by courier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rapidly growing our delivery volume and proving that our robots are more reliable than human couriers, we have successfully concluded the pilot phase of our partnership with Uber and signed an agreement to deploy up to 2,000 robots across the United States. Our goal is to deploy those robots in 2025, conditioned on securing required capital. We currently do not expect to be able to build and deploy robots in 2024 based on our existing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growing our delivery operations and establish Serve as the de facto global leader in automated last mile delivery. Our growth will be facilitated by continued investment in our hardware, software and AI developments that increase the performance and efficiency of our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18 months, we plan to grow our operation fleet by 10 times and operate in at least two markets. To do this, we must first secure additional capital. Our existing partnerships enable us to access sufficient demand for our projected growth over that period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plan to continue partnership discussions with a number of food and grocery brands, as well as other delivery and restaurant ordering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plans to expand operations beyond the United States and Canada, but we do engage in partnership discussions from time to time to evaluate the potential to expand into different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Investments and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revenue partnerships, we have developed strategic relations and collaborate with market leaders in robotics and delivery. Such collaborations have allowed us to improve our product, accelerate our growth, explore new market opportunities, and access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NVIDIA — </w:t>
      </w:r>
      <w:r>
        <w:rPr>
          <w:rFonts w:ascii="Times New Roman;Times;Serif" w:hAnsi="Times New Roman;Times;Serif"/>
          <w:b w:val="false"/>
          <w:i w:val="false"/>
          <w:caps w:val="false"/>
          <w:smallCaps w:val="false"/>
          <w:sz w:val="20"/>
        </w:rPr>
        <w:t>The leading provider of high-performance GPU computing chips, NVIDIA is an early technology collaborator of Serve. We have worked with NVIDIA’s robotics and engineering teams for over five years. In 2022, NVIDIA invested a total of $10 million in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Delivery Hero SE — </w:t>
      </w:r>
      <w:r>
        <w:rPr>
          <w:rFonts w:ascii="Times New Roman;Times;Serif" w:hAnsi="Times New Roman;Times;Serif"/>
          <w:b w:val="false"/>
          <w:i w:val="false"/>
          <w:caps w:val="false"/>
          <w:smallCaps w:val="false"/>
          <w:sz w:val="20"/>
        </w:rPr>
        <w:t>A German multinational online food ordering platform with significant presence in Europe and Asia, Delivery Hero is also an early investor of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Uber Technologies Inc. — </w:t>
      </w:r>
      <w:r>
        <w:rPr>
          <w:rFonts w:ascii="Times New Roman;Times;Serif" w:hAnsi="Times New Roman;Times;Serif"/>
          <w:b w:val="false"/>
          <w:i w:val="false"/>
          <w:caps w:val="false"/>
          <w:smallCaps w:val="false"/>
          <w:sz w:val="20"/>
        </w:rPr>
        <w:t>As discussed earlier, Uber holds a minority stake in Serve by contributing Serve’s initial IP and assets developed at Postmates X, as well as by participating in multiple financing rounds. Uber is a key commercial partner and has enabled us to reach hundreds of restaurants and thousands of customers within weeks of launching on their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7-Eleven Inc. and 7-Ventures, LLC </w:t>
      </w:r>
      <w:r>
        <w:rPr>
          <w:rFonts w:ascii="Times New Roman;Times;Serif" w:hAnsi="Times New Roman;Times;Serif"/>
          <w:b w:val="false"/>
          <w:i w:val="false"/>
          <w:caps w:val="false"/>
          <w:smallCaps w:val="false"/>
          <w:sz w:val="20"/>
        </w:rPr>
        <w:t>— Global convenience retailer with over 13,000 locations in the US and Canada , 7-Eleven is another early strategic investor in Serve. Our partnership discussions began in 2020 when Serve was a part of Postmates. 7-Eleven is our first foray into the convenience market, as well as our first direct integration with a retail chain. 7-Ventures, LLC, is an investment firm which operates as the venture capital arm of 7-Eleven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firm invests primarily in companies with emerging retail technology, consumer-focused services, and disruptive CPG products that complement 7-Eleven’s legacy of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existing partnerships, we are in discussions with other potential strategic partners that would enable us to grow faster and reach more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Economics of Robotic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cost of robotic delivery can be divided into two major components: labor costs related to fleet management personnel (remote supervision, field operations, and hardware operations) and costs related to the robots (licensed software, mobile data fees, and robot lease payments). In our shared fleet model, both labor and robot costs are incurred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most important drivers of delivery cost efficiency are autonomy and robot utilization. Increased autonomy reduces the cost of labor by increasing the number of deliveries per remote supervisor and field operator. Similarly, increasing robot utilization (i.e., number of deliveries per robot per day) leads to lower per delivery cost as fixed costs would be divided over more deliveries, and labor would be more efficiently leveraged.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cost drivers include hardware amortization period, upfront capital costs, and hourly wages for field and remote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worth noting the importance of the amortization period in hardware design choices. Designing a more durable robot, as well as using reusable components, will help reduce the cost of delivery. For example, LIDAR sensors and GPU computers have a higher initial cost of capital, and as such some have decided against using them; however, they are long-lasting components that can be amortized over a number of years, and most importantly, they increase autonomy performance and reduce the more significant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increasing autonomy performance and robot utilization, achieving operational profitability requires scaling the fleet. Scaled operations allow labor to be more efficiently utilized, while building robots at a higher volume also reduces the unit cost of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Competition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direct competitors in the sidewalk robotic space including Kiwibot, Starship Technologies, Coco, and Cartken. Kiwibot and Starship primarily focus on college campuses. College campus environments are smaller markets compared to our target market of urban environments. According to the Education Data Initiative, nearly 18 million students were enrolled in American colleges in 2022, compared to over 274 million people who live in urban environments according to University of Michigan’s Center for Sustainable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Serve, Coco focuses on urban delivery but does not have a direct marketplace integration with a major third-party delivery platform, significantly constraining its ability to scale. Integrating with an existing delivery marketplace such as Uber Eats allows Serve to reach customers and merchants in new markets quickly and cost-efficiently without the need to sign every merchant and acquire every customer. Direct marketplace integration also increases robot utilization, and as a result, reduces cost per delivery by increasing the pool of deliveries available to robots and ensuring they are more likely to receive delivery assignments well suited for robots. Direct marketplace integration also benefits marketplaces by reducing their cost per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Coco lacks advanced autonomy and requires a human remote operator to drive each robot at all times, diminishing cost-effectiveness, scalability, and safety. Cartken is a newer entrant to the space with limited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Serve Positioned to Win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world-class team, superior technology, and market-leading partnerships position us well to win the robotic delivery race.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approach to product development and go-to-market strategy has been informed by the proprietary historical delivery data we had the privilege to access inside Postmates. We developed sophisticated simulation tools to anticipate the dynamics of robotic delivery, and design our hardware, software and operations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unique data, we have created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Unique Robot: We have designed a one-of-a-kind robot, purpose-built for last mile urban delivery, with a uniquely suitable drivetrain, battery life, cargo design, and more.</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Best-in-Class Autonomy: Having understood the importance of autonomy for profitable unit economics from early simulations, we invested considerably in suitable sensors, computing stack, and AI models to achieve Level 4 autonomous capability.</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Fastest, Most Scalable Go-to-Market: We have led competition in our go-to-market approach in urban environments, with the largest number of restaurant partners and highest density of partners per geographic region.</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Highest Robot Utilization: We have achieved higher robot utilization than other robotic delivery providers, as a result of our robot design, partnership strategy and integrations.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Efficient Unit Economics: Leading in autonomy and robot utilization results in cheaper delivery economics.</w:t>
            </w:r>
          </w:p>
        </w:tc>
      </w:tr>
    </w:tbl>
    <w:p>
      <w:pPr>
        <w:pStyle w:val="TextBody"/>
        <w:bidi w:val="0"/>
        <w:spacing w:before="0" w:after="0"/>
        <w:ind w:left="0" w:right="0" w:firstLine="1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Safest: Our robots are equipped with the most sophisticated sensors, more redundancy in sensing than competition, and more robust safety features such as mechanical fail-safe braking.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having the best-in-class technology, strongest strategic partnerships, and significant deployment contracts, we have also assembled a high integrity, talented team, with a wealth of experience and a history of execution in creating innovative products and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a mission-driven company based on a set of values that drive who we are and what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Empower People — </w:t>
      </w:r>
      <w:r>
        <w:rPr>
          <w:rFonts w:ascii="Times New Roman;Times;Serif" w:hAnsi="Times New Roman;Times;Serif"/>
          <w:b w:val="false"/>
          <w:i w:val="false"/>
          <w:caps w:val="false"/>
          <w:smallCaps w:val="false"/>
          <w:sz w:val="20"/>
        </w:rPr>
        <w:t>We serve our neighborhoods and support local businesses. We go beyond self-interest, taking our community into account. We empower each other with trust and autonomy to solve big problems to build a sustainable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Passionate, Authentic and Kind — </w:t>
      </w:r>
      <w:r>
        <w:rPr>
          <w:rFonts w:ascii="Times New Roman;Times;Serif" w:hAnsi="Times New Roman;Times;Serif"/>
          <w:b w:val="false"/>
          <w:i w:val="false"/>
          <w:caps w:val="false"/>
          <w:smallCaps w:val="false"/>
          <w:sz w:val="20"/>
        </w:rPr>
        <w:t>We are mission driven. We value each other. We celebrate milestones and moments, both at Serve and in our personal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Trustworthy — </w:t>
      </w:r>
      <w:r>
        <w:rPr>
          <w:rFonts w:ascii="Times New Roman;Times;Serif" w:hAnsi="Times New Roman;Times;Serif"/>
          <w:b w:val="false"/>
          <w:i w:val="false"/>
          <w:caps w:val="false"/>
          <w:smallCaps w:val="false"/>
          <w:sz w:val="20"/>
        </w:rPr>
        <w:t>We operate with integrity. We do what we say we will do. We are honest, transparent, and respectful.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Safety Is Not Negotiable — </w:t>
      </w:r>
      <w:r>
        <w:rPr>
          <w:rFonts w:ascii="Times New Roman;Times;Serif" w:hAnsi="Times New Roman;Times;Serif"/>
          <w:b w:val="false"/>
          <w:i w:val="false"/>
          <w:caps w:val="false"/>
          <w:smallCaps w:val="false"/>
          <w:sz w:val="20"/>
        </w:rPr>
        <w:t>We set the standard for safety. Our goal is to eliminate risks to safety. Our commitment goes beyond the sidewalk—we protect our customers’ data, our employees, and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Take Ownership, Give Credit — </w:t>
      </w:r>
      <w:r>
        <w:rPr>
          <w:rFonts w:ascii="Times New Roman;Times;Serif" w:hAnsi="Times New Roman;Times;Serif"/>
          <w:b w:val="false"/>
          <w:i w:val="false"/>
          <w:caps w:val="false"/>
          <w:smallCaps w:val="false"/>
          <w:sz w:val="20"/>
        </w:rPr>
        <w:t>It’s not mine, it’s not yours, it’s ours. We solve big audacious problems working together as a distributed, cross-functional team. We take pride in the quality of our work and no task is beneath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Put the Marshmallow on Top — </w:t>
      </w:r>
      <w:r>
        <w:rPr>
          <w:rFonts w:ascii="Times New Roman;Times;Serif" w:hAnsi="Times New Roman;Times;Serif"/>
          <w:b w:val="false"/>
          <w:i w:val="false"/>
          <w:caps w:val="false"/>
          <w:smallCaps w:val="false"/>
          <w:sz w:val="20"/>
        </w:rPr>
        <w:t>We are humbled by unknowns, not defeated. We see opportunity in ambiguity. We don’t need turn-by-turn directions, but plan our own routes and even scout for others. We embrace experimentation in the face of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Find Truth on the Sidewalk — </w:t>
      </w:r>
      <w:r>
        <w:rPr>
          <w:rFonts w:ascii="Times New Roman;Times;Serif" w:hAnsi="Times New Roman;Times;Serif"/>
          <w:b w:val="false"/>
          <w:i w:val="false"/>
          <w:caps w:val="false"/>
          <w:smallCaps w:val="false"/>
          <w:sz w:val="20"/>
        </w:rPr>
        <w:t>We experiment rapidly and discover eagerly in the real world. We move fast, gather data, and learn by delivering.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Deliver Delight — </w:t>
      </w:r>
      <w:r>
        <w:rPr>
          <w:rFonts w:ascii="Times New Roman;Times;Serif" w:hAnsi="Times New Roman;Times;Serif"/>
          <w:b w:val="false"/>
          <w:i w:val="false"/>
          <w:caps w:val="false"/>
          <w:smallCaps w:val="false"/>
          <w:sz w:val="20"/>
        </w:rPr>
        <w:t>Both to our customers or to each other! We exceed customer expectations. We bring joy to our work and to our neighborhoods.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internal data, we estimate that well over 95% of deliveries completed by Serve robots over the last year would otherwise be performed by personal vehicles. At scale, we estimate that delivery robots can reduce global GHG emissions by nearly 650 megatons annually by replacing deliveries by personal vehicles, which represents approximately 1.8% reduction in the 36.8 billion metric tons of global emissions (IEA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International Energy Agency, three billion metric tons of CO2 were emitted by passenger vehicles in 2020. Assuming the 2017 estimate by the Bureau of Transportation Statistics that 45% of car trips were taken for shopping and errands, and our proprietary delivery data indicating half of all shopping trips can be completed by delivery robots, this suggests that the scaled use of robotic delivery could reduce global passenger car emissions of such trips from approximately 675 megatons to less than 27 metagons per year, which is a reduction of over 96% as estimated by a study published in Transportation Research Part D: Transport and Environment (Volume 85, August 2020,102443).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by default delivery robots are allowed to operate on sidewalks. Over twenty states and a number of cities have put in place legal frameworks to explicitly permit the use of delivery robots. The instances of cities welcoming delivery robots far exceed the few examples in which their operations were banned. This positive regulatory momentum for delivery robots may be due to a number of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Robots Inherently Safer: </w:t>
            </w:r>
            <w:r>
              <w:rPr/>
              <w:t>Cars carry over 1,000 times more kinetic energy than robots. As a result of having much lower kinetic energy, robots do not pose the same risk for injury or fatality that cars do. Meanwhile, cars injure and kill thousands of pedestrians and cyclists each year. Removing unnecessary car trips can make cities safer for pedestrians and cyclists.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Robots Reduce Emissions: </w:t>
            </w:r>
            <w:r>
              <w:rPr/>
              <w:t>Many cities have established targets for reducing carbon emissions, and robots can help advance their environmental initiatives.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Robots Reduce Congestion: </w:t>
            </w:r>
            <w:r>
              <w:rPr/>
              <w:t>Deliveries often originate in high traffic regions where restaurants and shops tend to be located. As a result, removing delivery car traffic can reduce congestion and parking issues in cities.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Robots Reduce Delivery Cost for Local Merchants: </w:t>
            </w:r>
            <w:r>
              <w:rPr/>
              <w:t>Recently, a number of cities have implemented restrictions on how much delivery platforms can charge restaurants for their services. Robots can offer a cheaper alternative to help local restaurants and merchants reduce their delivery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operational in West Hollywood, CA, which has an ongoing PDD permitting program, and Los Angeles, CA, which is currently implementing administrative rules to govern PDD deployment. Other states and municipalities across the United States may have legal requirements for PDD deployment, but they are not applicable to our operations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Hollywood’s PDD permitting program is administered via a Call for Application and subsequent procurement process. Serve Robotics submitted an application and received an operating permit as of September 2022. The permit limits operation to twenty (20) or fewer robots and requires monthly submission of a report outlining incidents, geographic data, and areas for infrastructure improvement within the 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Municipal Code Section 71.30, the Los Angeles Department of Transportation is empowered to enact a PDD pilot program. These rules include size and weight requirements, speed limits, 3-1-1 integration, braille identifying markers on the devices, integration with the Mobility Data Specification for location reporting, and regular communication of incidents that may take place. The updated rules have not yet been made public, but we are currently working with the city on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currently has no statewide requirements governing the operation of PDDs. Under California Health and Safety Code Sections 113982 and 113930.5, restaurants that deliver meals by means of third-party delivery services are required to use tamper evident packaging. Additionally, the Los Angeles County Department of Public Health provides guidance on food delivery and pickup by third party delivery service drivers. However, there are currently no requirements specifically addressing automated and robotic delivery vehicles such as PDDs.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operations, we will continue to engage with local municipalities and regulators, to collaboratively introduce our innovative technology to new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hardware certification requirements for sidewalk robots in the United States include the UN 38.3 and IEC 62133-2 for battery safety, which Serve robots are in compliance with, and the Federal Communications Commission’s 47 Code of Federal Regulations 15 for Radio Frequency Devices, for which we are in the process of obtaining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for 18 patents in China (1 patent), the United States (11 patents), Canada (6 patents), and through the Patent Cooperation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thus far been granted nine of the 18 patents for which we have applied—4 in the United States, 4 in Canada and 1 in China. Our granted patents will expire between May 2029 and June 2039, assuming that all maintenance fees are paid, no portion of the patent has been terminally disclaimed and the patent has not been invalidated. In certain jurisdictions, and in certain circumstances, patent terms can be extended or shortened.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17, 2023, Serve has 62 employees in the United States and nine employees in Canada through our wholly-owned Canadian subsidiary. By primary job function, about 65% of our employees have engineering or product roles, 24% are in operations and 11% have business development or other administrative roles. None of our employees is represented by a labor union or covered by a collective bargaining agreement. We consider our relationship with our employees to be good.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Pay and Benefits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compensation and benefits packages that we believe are competitive within our industry. We use a combination of cash and equity compensation and other benefits to attract, motivate and retain our employees, including stock option awards, retirement programs, flexible or paid time off based on department, and health and wellness benefits. In addition, we benchmark our compensation and benefits packages periodically to remain competitive with our peers and attract and retain talent throughout our organization.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Recruitment, Retention, and Development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unique corporate culture, competitive compensation and benefits programs, and career growth and development opportunities promote longer employee tenure and reduce turnover. We have enjoyed high employee retention since becoming an independent company in 2021 and monitor employee turnover rates as our success depends upon retaining and investing in our highly skilled technical staff.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Diversity, Equity, and Inclusion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the uniqueness that an inclusive and diverse team brings to our company. Therefore, we are focused on creating an environment that leverages the perspectives and contributions of each employee.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Safety, Health, and Wellness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prioritize safe working conditions. We are committed to an injury-free workplace and provide comprehensive workplace training and support to reduce or eliminate health and safety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headquarters are located in Redwood City, California, where we lease 4,200 square feet of office and industrial space pursuant to a lease that expires in 2025. We have an option to extend that lease by a four-year term. Our headquarters contain research and development, operations and selling, general and administrative functions as well as test tracks for our robots. We also lease two other offices in Los Angeles, our current delivery area.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facilities are adequate and suitable for our current needs and that, should it be needed, suitable additional or alternative space will be available to accommodate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that arise in the ordinary course of business. However, litigation is subject to inherent uncertainties, and an adverse result in these or other matters may arise from time to time that may harm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aware of any pending legal proceedings to which we are a party or of which any of our property is the subject, nor are we aware of any such proceedings that are contemplated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website is www.serverobotics.com, and we can be contacted at investor.relations@serverobotics.com. Our Annual Reports on Form 10-K, Quarterly Reports on Form 10-Q, Current Reports on Form 8-K and any amendments to such reports are filed with the SEC. We are subject to the informational requirements of the Exchange Act and file or furnish reports, proxy statements, and other information with the SEC. Such reports and other information filed by us with the SEC will be available free of charge on our website at www.serverobotics.com when such reports are available on the SEC’s website. The SEC maintains a website that contains reports, proxy and information statements, and other information that issuers file electronically with the SEC at www.sec.gov.</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 websites referred to above are not incorporated into this filing. Further, our references to the URLs for these websites are intended to be inactive textual references only.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r_010"/>
      <w:bookmarkEnd w:id="11"/>
      <w:r>
        <w:rPr>
          <w:rFonts w:ascii="Times New Roman;Times;Serif" w:hAnsi="Times New Roman;Times;Serif"/>
          <w:b/>
          <w:i w:val="false"/>
          <w:caps/>
          <w:sz w:val="20"/>
        </w:rPr>
        <w:t>MANAGEMENT’S DISCUSSION AND ANALYSIS OF FINANCIAL</w:t>
        <w:br/>
        <w:t>CONDITION AND RESULTS OF OPERATIONS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and other financial information included in this prospectus. Some of the information contained in this discussion and analysis or set forth elsewhere in this prospectus, including information with respect to our plans and strategy for our business, includes forward-looking statements that involve risks and uncertainties as described under the heading “Special Note Regarding Forward-Looking Statements” elsewhere in this prospectus. Accordingly, you should review the disclosure under the heading “Risk Factors” in this prospectus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 Acquisition Corp., Acquisition Sub, and Serve entered into a Merger Agreement. Pursuant to the terms of the Merger Agreement, on the Closing Date, Acquisition Sub merged with and into Serve, with Serve continuing as the surviving corporation and our wholly owned subsidiary. As a result of the Merger, we acquired the business of Serve and will continue the existing business operations of Serve as a public reporting company under the name Serve Robotics Inc. On the Closing Date, Serve’s predecessor was renamed Serve Operating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Acquisition Corp. is not pertinent, and under applicable accounting principles, the historical financial results of Serve, the accounting acquirer, prior to the Merger are considered our historical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are organized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Executive Summary – Summary analysis of financial and other highlights to provide context for the discussion and analysis.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5"/>
        <w:gridCol w:w="9844"/>
      </w:tblGrid>
      <w:tr>
        <w:trPr/>
        <w:tc>
          <w:tcPr>
            <w:tcW w:w="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i/>
              </w:rPr>
            </w:pPr>
            <w:r>
              <w:rPr>
                <w:i/>
              </w:rPr>
              <w:t>Results of Operations – An analysis of our financial results.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Liquidity, and Capital Resources – An analysis of changes in our balance sheets and cash flows and a discussion of our financial condition and potential sources of liquidity.</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Critical Accounting Estimates – Accounting estimates that management believes are the most important to understanding the assumptions and judgments incorporated in our financial results and forecasts and involve a significant level of estimation uncertainty.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shaping the future of sustainable, self-driving delivery. We design, develop, and operate low-emissions robots that serve people in public spaces, starting with food delivery. Starting in 2017, our core technology was developed by our co-founders and a majority of our product and engineering team in San Francisco, California as a special project within Postmates, one of the pioneering food delivery startups in the United States. By the end of 2020, the team had developed a fleet of sidewalk robots that had successfully performed over 10,000 commercial deliveries for Postmates in California, augmenting Postmates’ fleet of human couriers. 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 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started this project within a food delivery company, our team comes with a depth of combined expertise in food delivery, automation, and robotics. Our expertise uniquely positions us to service the growing on-demand delivery market, including food delivery, where approximately half of all deliveries are less than 2.5 miles and well-suited to delivery by sidewalk robots. We provide a robotic delivery experience that delights customers, improves reliability for merchants, and reduces traffic congestion and eliminates vehicle emissions. At scale, our delivery robots can complete deliveries at lower cost than human couriers, making on-demand delivery more affordable and accessible in areas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 Acquisition Corp., Acquisition Sub, and Serve entered into the Merger Agreement. Pursuant to the terms of the Merger Agreement, on the Closing Date, Acquisition Sub merged with and into Serve, with Serve continuing as the surviving corporation and our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acquired the business of Serve, a leading autonomous sidewalk delivery company based in Redwood City, California. See “</w:t>
      </w:r>
      <w:r>
        <w:rPr>
          <w:rFonts w:ascii="Times New Roman;Times;Serif" w:hAnsi="Times New Roman;Times;Serif"/>
          <w:b w:val="false"/>
          <w:i/>
          <w:caps w:val="false"/>
          <w:smallCaps w:val="false"/>
          <w:sz w:val="20"/>
        </w:rPr>
        <w:t>Description of our Business</w:t>
      </w:r>
      <w:r>
        <w:rPr>
          <w:rFonts w:ascii="Times New Roman;Times;Serif" w:hAnsi="Times New Roman;Times;Serif"/>
          <w:b w:val="false"/>
          <w:i w:val="false"/>
          <w:caps w:val="false"/>
          <w:smallCaps w:val="false"/>
          <w:sz w:val="20"/>
        </w:rPr>
        <w:t>.” At the Effective Time, each of Serve’s shares of capital stock issued and outstanding immediately prior to the closing of the Merger was converted into the right to receive 0.8035 of a share of our common stock (in the case of shares held by accredited investors), with the maximum number of shares of our common stock issuable to the former holders of Serve’s capital stock equal to 20,948,917 after adjustments due to rounding for fractional shares. Immediately prior to the Effective Time, an aggregate of 3,500,000 shares of our common stock owned by our stockholders prior to the Merger were forfeited and canceled (the “Stock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(i) options to purchase 1,984,951 shares of Serve’s common stock issued and outstanding immediately prior to the closing of the Merger under the Serve Plan were assumed and converted into options to purchase 1,594,800 shares of our common stock, (ii) warrants to purchase 160,323 shares of Serve’s Series Seed preferred stock issued and outstanding immediately prior to the closing of the Merger were assumed and converted into warrants to purchase 128,819 shares of our common stock, and (iii) warrants to purchase 17,314 shares of Serve’s common stock issued and outstanding immediately prior to the closing of the Merger were assumed and converted into warrants to purchase 13,911 shares of our common stock and (iv) SAFEs totaling $15,551,953 were converted into 4,372,613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Time of the Merger, we sold 3,183,671 shares of our common stock pursuant to the Private Placement in multiple closings. We also issued 937,961 shares of our common stock to convert the outstanding principal and interest of outstanding Bridge Notes in connection with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in the Private Placement was required to represent that, at the time of the applicable closing, it (i) has a substantive, pre-existing relationship with us, or has direct contact with us or the Placement Agents or other enumerated parties outside of the Private Placement and (ii) did not independently contact us as a result of general solicitation by means of this prospectus, any press release or any other public disclosure disclosing the material terms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and July 2023, the Company issued a senior secured promissory note with its Chief Executive Officer for which the Company received $449,000 in proceeds. The note bore interest at 7.67% per annum and matured upon the Merger. </w:t>
      </w:r>
      <w:r>
        <w:rPr>
          <w:rFonts w:ascii="Times New Roman;Times;Serif" w:hAnsi="Times New Roman;Times;Serif"/>
          <w:b w:val="false"/>
          <w:i w:val="false"/>
          <w:caps w:val="false"/>
          <w:smallCaps w:val="false"/>
          <w:sz w:val="20"/>
          <w:shd w:fill="FFFFFF" w:val="clear"/>
        </w:rPr>
        <w:t>The agreement contained a clause that the terms would be updated if subsequent notes were issued at a more favorable term. Accordingly, based on loans in July 2023, notes were issued that contained a 16% exit fee. Serve repaid the notes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Secured Subordinated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2023, Serve issued Secured Subordinated Promissory Notes (the “Promissory Notes”) to accredited investors in an aggregate principal loan amount of $750,000. Pursuant to the Promissory Notes, the loans accrued interest on the unpaid principal amount at a rate of 18.00% per annum, computed as simple interest. Each holder of the Promissory Notes was entitled to an exit fee equal to 16% of the stated principal amount of such holder’s Promissory Note, less the total amount of interest that accrued on such Promissory Note prior to the Closing of the Merger (the “Exit Fee”). Serve repaid the Promissory Notes and the Exit Fee upon the Closing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Outlook And Challenges Facing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industry factors that affect our business which include,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Overall Demand for Last Mile Delivery on Partner Platforms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significantly on continued demand for last-mile delivery of food and other items on our partner platforms. This demand can fluctuate based on various market cycles and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Customer Concentration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 limited number of customers. Sales to Uber represented 50% of our revenues for the year ended December 31, 2022, and if Uber were to breach, cancel, or amend our agreement, it may have an outsized effect on our revenue, cash on hand, and profitability. Our business development team is actively pursuing new delivery and branding customers to diversify our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Inflation and Market Considerations; Availability of Materials, Labor &amp; Services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rising gasoline prices, interest rates, consumer confidence, and other macroeconomic factors. Inflation can lead to increased cost of material and labor for restaurants and merchants who may in turn raise prices on the item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 mile delivery as labor becomes more expensive and drives up the cost of delivery by humans.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Supply Chain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shortage of electrical components, including semiconductor chips and other hardware components essential to the manufacturing and maintenance of our robots, continued to impact our supply chain throughout 2022. As a result, we experienced increases in our lead times and costs for certain components to build our robots. We cannot be sure whether global supply chain shortages will impact our future robot build plans. In order to mitigate supply chain risks, we would need to incur higher costs to secure available inventory and place non-cancellable purchase commitments with our suppliers, which could introduce inventory risk if our forecasts and assumptions prove inaccurate. Higher costs of components would impact our cash runway and delays in the manufacturing of our robots would push out our revenue forecasts.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Governmental and Regulatory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Future Prospects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continue to experience operating losses in 2023 and 2024 as we seek to implement our long-term strategic plan, using the net proceeds from the Private Placement to accelerate our development through increased research and development spending, scale our robotic fleet, expand our sales and business development efforts, and increase our overall headcount in order to achieve efficiencies through scaled growth. Our goal over the next two years is to scale our operating fleet by a factor of 10 and expand our geographic coverage to new markets beyond our current operating area in Los Angeles. With such an increase, we anticipate proportional increases in capital costs, overhead, and operating expenses. We aim to initially achieve profitability in 2025, with increased profitability thereafter; however, doing so is dependent upon numerous factors, including the development of revenues, general business and economic conditions, and other risks and uncertainties, including those listed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currently consists of (1) delivery revenues and (2) revenues from branding.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w:t>
      </w:r>
      <w:r>
        <w:rPr>
          <w:rFonts w:ascii="Times New Roman;Times;Serif" w:hAnsi="Times New Roman;Times;Serif"/>
          <w:b w:val="false"/>
          <w:i w:val="false"/>
          <w:caps w:val="false"/>
          <w:smallCaps w:val="false"/>
          <w:sz w:val="20"/>
        </w:rPr>
        <w:t>. Cost of revenue consists of (1) robot costs (depreciation), (2) headcount from operations, and (3) software &amp; network related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Operations</w:t>
      </w:r>
      <w:r>
        <w:rPr>
          <w:rFonts w:ascii="Times New Roman;Times;Serif" w:hAnsi="Times New Roman;Times;Serif"/>
          <w:b w:val="false"/>
          <w:i w:val="false"/>
          <w:caps w:val="false"/>
          <w:smallCaps w:val="false"/>
          <w:sz w:val="20"/>
        </w:rPr>
        <w:t>. Operations expenses consist primarily of compensation and related costs for personnel, including stock-based compensation, employee benefits, and associated travel costs. Operations expenses also include costs associated with software, networking, and facilities.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 Research and development expenses consist primarily of compensation and related costs for personnel, including stock-based compensation, employee benefits, and costs associated with first generation robots and design, testing, and repair of our robots. We expense research and development expenses as incurred. As we continue to invest in developing our technology for new products, we expect research and development expenses to moderately increase.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Sales and Marketing</w:t>
      </w:r>
      <w:r>
        <w:rPr>
          <w:rFonts w:ascii="Times New Roman;Times;Serif" w:hAnsi="Times New Roman;Times;Serif"/>
          <w:b w:val="false"/>
          <w:i w:val="false"/>
          <w:caps w:val="false"/>
          <w:smallCaps w:val="false"/>
          <w:sz w:val="20"/>
        </w:rPr>
        <w:t>. Sales and marketing expenses consist primarily of compensation and related costs for personnel, including stock-based compensation, employee benefits, and associated travel costs. Sales and marketing expenses also include costs associated with our support of business development efforts. We expense sales and marketing expenses as incurred. We expect sales and marketing expenses to increase in future periods as we increase our sales and expand our business development and marketing organization.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w:t>
      </w:r>
      <w:r>
        <w:rPr>
          <w:rFonts w:ascii="Times New Roman;Times;Serif" w:hAnsi="Times New Roman;Times;Serif"/>
          <w:b w:val="false"/>
          <w:i w:val="false"/>
          <w:caps w:val="false"/>
          <w:smallCaps w:val="false"/>
          <w:sz w:val="20"/>
        </w:rPr>
        <w:t>. General and administrative expenses consist primarily of compensation and related costs for personnel, including stock-based compensation, employee benefits, and travel. In addition, general and administrative expenses include third-party consulting, legal, audit, and accounting services, allocations of overhead costs, such as rent, facilities, and information technology, and amortization of our intangible assets. We expect general and administrative expenses to increase in future periods due to additional legal, accounting, insurance, investor relations, and other costs associated with being a public company, as well as other costs associated with growing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stated rates of interest on financing instruments, fees incurred related to financing instruments or accretion of debt discounts.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Fair Value of future equity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Changes in the fair value of the simple agreements for future equity </w:t>
      </w:r>
      <w:r>
        <w:rPr>
          <w:rFonts w:ascii="Times New Roman;Times;Serif" w:hAnsi="Times New Roman;Times;Serif"/>
          <w:b w:val="false"/>
          <w:i w:val="false"/>
          <w:caps w:val="false"/>
          <w:smallCaps w:val="false"/>
          <w:sz w:val="20"/>
        </w:rPr>
        <w:t xml:space="preserve">(“SAFEs”) </w:t>
      </w:r>
      <w:r>
        <w:rPr>
          <w:rFonts w:ascii="Times New Roman;Times;Serif" w:hAnsi="Times New Roman;Times;Serif"/>
          <w:b w:val="false"/>
          <w:i w:val="false"/>
          <w:caps w:val="false"/>
          <w:smallCaps w:val="false"/>
          <w:sz w:val="20"/>
          <w:shd w:fill="FFFFFF" w:val="clear"/>
        </w:rPr>
        <w:t>relate to updated assumptions and estimates are recognized within the statements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of other expenses, consists primarily of income generated from our interest-bearing deposit account.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Overview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2023 and 2022, we generated revenues of $0.06 million and $0.03 million, respectively, and reported net loss of $7.65 million and $5.36 million,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and 2022, we generated revenues of $0.16 million and $0.06 million, respectively, and reported net loss of $17.75 million and $14.60 million,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and the period from January 15, 2021 (inception) to December 31, 2021, we generated revenues of $0.01 million and $0.004 million, respectively, and reported net loss of $21.86 million and $21.67 million,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our unaudited consolidated financial statements, as of September 30, 2023, we had an accumulated deficit of $61.27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Results of Operations for the Three Months Ended September 30, 2023 and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operating results as reflected in our unaudited statements of operations during the three months ended September 30, 2023 and 2022, respectively, and provides information regarding the dollar and percentage increase (or decrease) during such periods.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2"/>
        <w:gridCol w:w="60"/>
        <w:gridCol w:w="140"/>
        <w:gridCol w:w="1100"/>
        <w:gridCol w:w="95"/>
        <w:gridCol w:w="60"/>
        <w:gridCol w:w="140"/>
        <w:gridCol w:w="1055"/>
        <w:gridCol w:w="95"/>
        <w:gridCol w:w="60"/>
        <w:gridCol w:w="140"/>
        <w:gridCol w:w="1055"/>
        <w:gridCol w:w="95"/>
        <w:gridCol w:w="60"/>
        <w:gridCol w:w="102"/>
        <w:gridCol w:w="857"/>
        <w:gridCol w:w="189"/>
      </w:tblGrid>
      <w:tr>
        <w:trPr/>
        <w:tc>
          <w:tcPr>
            <w:tcW w:w="49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9" w:type="dxa"/>
            <w:gridSpan w:val="2"/>
            <w:tcBorders/>
            <w:vAlign w:val="center"/>
          </w:tcPr>
          <w:p>
            <w:pPr>
              <w:pStyle w:val="TableContents"/>
              <w:bidi w:val="0"/>
              <w:spacing w:before="0" w:after="283"/>
              <w:jc w:val="center"/>
              <w:rPr/>
            </w:pPr>
            <w:r>
              <w:rPr/>
              <w:t> </w:t>
            </w:r>
          </w:p>
        </w:tc>
        <w:tc>
          <w:tcPr>
            <w:tcW w:w="189" w:type="dxa"/>
            <w:tcBorders/>
            <w:vAlign w:val="center"/>
          </w:tcPr>
          <w:p>
            <w:pPr>
              <w:pStyle w:val="TableContents"/>
              <w:bidi w:val="0"/>
              <w:spacing w:before="0" w:after="283"/>
              <w:jc w:val="left"/>
              <w:rPr/>
            </w:pPr>
            <w:r>
              <w:rPr/>
              <w:t> </w:t>
            </w:r>
          </w:p>
        </w:tc>
      </w:tr>
      <w:tr>
        <w:trPr/>
        <w:tc>
          <w:tcPr>
            <w:tcW w:w="49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9" w:type="dxa"/>
            <w:gridSpan w:val="2"/>
            <w:tcBorders/>
            <w:vAlign w:val="center"/>
          </w:tcPr>
          <w:p>
            <w:pPr>
              <w:pStyle w:val="TableContents"/>
              <w:bidi w:val="0"/>
              <w:spacing w:before="0" w:after="283"/>
              <w:jc w:val="center"/>
              <w:rPr/>
            </w:pPr>
            <w:r>
              <w:rPr/>
              <w:t> </w:t>
            </w:r>
          </w:p>
        </w:tc>
        <w:tc>
          <w:tcPr>
            <w:tcW w:w="189" w:type="dxa"/>
            <w:tcBorders/>
            <w:vAlign w:val="center"/>
          </w:tcPr>
          <w:p>
            <w:pPr>
              <w:pStyle w:val="TableContents"/>
              <w:bidi w:val="0"/>
              <w:spacing w:before="0" w:after="283"/>
              <w:jc w:val="left"/>
              <w:rPr/>
            </w:pPr>
            <w:r>
              <w:rPr/>
              <w:t> </w:t>
            </w:r>
          </w:p>
        </w:tc>
      </w:tr>
      <w:tr>
        <w:trPr/>
        <w:tc>
          <w:tcPr>
            <w:tcW w:w="49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9"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Change %</w:t>
            </w:r>
          </w:p>
        </w:tc>
        <w:tc>
          <w:tcPr>
            <w:tcW w:w="189" w:type="dxa"/>
            <w:tcBorders/>
            <w:vAlign w:val="center"/>
          </w:tcPr>
          <w:p>
            <w:pPr>
              <w:pStyle w:val="TableContents"/>
              <w:bidi w:val="0"/>
              <w:spacing w:before="0" w:after="283"/>
              <w:jc w:val="left"/>
              <w:rPr/>
            </w:pPr>
            <w:r>
              <w:rPr/>
              <w:t> </w:t>
            </w:r>
          </w:p>
        </w:tc>
      </w:tr>
      <w:tr>
        <w:trPr/>
        <w:tc>
          <w:tcPr>
            <w:tcW w:w="49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9"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ind w:left="0" w:right="0" w:hanging="180"/>
              <w:jc w:val="left"/>
              <w:rPr/>
            </w:pPr>
            <w:r>
              <w:rPr/>
              <w:t> </w:t>
            </w:r>
          </w:p>
        </w:tc>
      </w:tr>
      <w:tr>
        <w:trPr/>
        <w:tc>
          <w:tcPr>
            <w:tcW w:w="4902"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62,565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29,232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88</w:t>
            </w:r>
          </w:p>
        </w:tc>
        <w:tc>
          <w:tcPr>
            <w:tcW w:w="189" w:type="dxa"/>
            <w:tcBorders/>
            <w:shd w:fill="CCEEFF" w:val="clear"/>
            <w:vAlign w:val="center"/>
          </w:tcPr>
          <w:p>
            <w:pPr>
              <w:pStyle w:val="TableContents"/>
              <w:bidi w:val="0"/>
              <w:spacing w:before="0" w:after="283"/>
              <w:ind w:left="0" w:right="0" w:hanging="180"/>
              <w:jc w:val="left"/>
              <w:rPr/>
            </w:pPr>
            <w:r>
              <w:rPr/>
              <w:t>%</w:t>
            </w:r>
          </w:p>
        </w:tc>
      </w:tr>
      <w:tr>
        <w:trPr/>
        <w:tc>
          <w:tcPr>
            <w:tcW w:w="4902"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572,537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341,517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231,020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68</w:t>
            </w:r>
          </w:p>
        </w:tc>
        <w:tc>
          <w:tcPr>
            <w:tcW w:w="189" w:type="dxa"/>
            <w:tcBorders/>
            <w:shd w:fill="FFFFFF" w:val="clear"/>
            <w:vAlign w:val="center"/>
          </w:tcPr>
          <w:p>
            <w:pPr>
              <w:pStyle w:val="TableContents"/>
              <w:bidi w:val="0"/>
              <w:spacing w:before="0" w:after="283"/>
              <w:ind w:left="0" w:right="0" w:hanging="180"/>
              <w:jc w:val="left"/>
              <w:rPr/>
            </w:pPr>
            <w:r>
              <w:rPr/>
              <w:t>%</w:t>
            </w:r>
          </w:p>
        </w:tc>
      </w:tr>
      <w:tr>
        <w:trPr/>
        <w:tc>
          <w:tcPr>
            <w:tcW w:w="4902"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(509,972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(308,184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(201,788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ind w:left="0" w:right="0" w:hanging="180"/>
              <w:jc w:val="left"/>
              <w:rPr/>
            </w:pPr>
            <w:r>
              <w:rPr/>
              <w:t> </w:t>
            </w:r>
          </w:p>
        </w:tc>
      </w:tr>
      <w:tr>
        <w:trPr/>
        <w:tc>
          <w:tcPr>
            <w:tcW w:w="4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ind w:left="0" w:right="0" w:hanging="180"/>
              <w:jc w:val="left"/>
              <w:rPr/>
            </w:pPr>
            <w:r>
              <w:rPr/>
              <w:t> </w:t>
            </w:r>
          </w:p>
        </w:tc>
      </w:tr>
      <w:tr>
        <w:trPr/>
        <w:tc>
          <w:tcPr>
            <w:tcW w:w="4902"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ind w:left="0" w:right="0" w:hanging="180"/>
              <w:jc w:val="left"/>
              <w:rPr/>
            </w:pPr>
            <w:r>
              <w:rPr/>
              <w:t> </w:t>
            </w:r>
          </w:p>
        </w:tc>
      </w:tr>
      <w:tr>
        <w:trPr/>
        <w:tc>
          <w:tcPr>
            <w:tcW w:w="4902"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1,428,143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952,553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475,590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50</w:t>
            </w:r>
          </w:p>
        </w:tc>
        <w:tc>
          <w:tcPr>
            <w:tcW w:w="189" w:type="dxa"/>
            <w:tcBorders/>
            <w:shd w:fill="FFFFFF" w:val="clear"/>
            <w:vAlign w:val="center"/>
          </w:tcPr>
          <w:p>
            <w:pPr>
              <w:pStyle w:val="TableContents"/>
              <w:bidi w:val="0"/>
              <w:spacing w:before="0" w:after="283"/>
              <w:ind w:left="0" w:right="0" w:hanging="180"/>
              <w:jc w:val="left"/>
              <w:rPr/>
            </w:pPr>
            <w:r>
              <w:rPr/>
              <w:t>%</w:t>
            </w:r>
          </w:p>
        </w:tc>
      </w:tr>
      <w:tr>
        <w:trPr/>
        <w:tc>
          <w:tcPr>
            <w:tcW w:w="4902"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681,434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(123,366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-18</w:t>
            </w:r>
          </w:p>
        </w:tc>
        <w:tc>
          <w:tcPr>
            <w:tcW w:w="189" w:type="dxa"/>
            <w:tcBorders/>
            <w:shd w:fill="CCEEFF" w:val="clear"/>
            <w:vAlign w:val="center"/>
          </w:tcPr>
          <w:p>
            <w:pPr>
              <w:pStyle w:val="TableContents"/>
              <w:bidi w:val="0"/>
              <w:spacing w:before="0" w:after="283"/>
              <w:ind w:left="0" w:right="0" w:hanging="180"/>
              <w:jc w:val="left"/>
              <w:rPr/>
            </w:pPr>
            <w:r>
              <w:rPr/>
              <w:t>%</w:t>
            </w:r>
          </w:p>
        </w:tc>
      </w:tr>
      <w:tr>
        <w:trPr/>
        <w:tc>
          <w:tcPr>
            <w:tcW w:w="4902"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2,962,812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3,261,785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(298,973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-9</w:t>
            </w:r>
          </w:p>
        </w:tc>
        <w:tc>
          <w:tcPr>
            <w:tcW w:w="189" w:type="dxa"/>
            <w:tcBorders/>
            <w:shd w:fill="FFFFFF" w:val="clear"/>
            <w:vAlign w:val="center"/>
          </w:tcPr>
          <w:p>
            <w:pPr>
              <w:pStyle w:val="TableContents"/>
              <w:bidi w:val="0"/>
              <w:spacing w:before="0" w:after="283"/>
              <w:ind w:left="0" w:right="0" w:hanging="180"/>
              <w:jc w:val="left"/>
              <w:rPr/>
            </w:pPr>
            <w:r>
              <w:rPr/>
              <w:t>%</w:t>
            </w:r>
          </w:p>
        </w:tc>
      </w:tr>
      <w:tr>
        <w:trPr/>
        <w:tc>
          <w:tcPr>
            <w:tcW w:w="4902"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118,793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120,537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89" w:type="dxa"/>
            <w:tcBorders/>
            <w:shd w:fill="CCEEFF" w:val="clear"/>
            <w:vAlign w:val="center"/>
          </w:tcPr>
          <w:p>
            <w:pPr>
              <w:pStyle w:val="TableContents"/>
              <w:bidi w:val="0"/>
              <w:spacing w:before="0" w:after="283"/>
              <w:ind w:left="0" w:right="0" w:hanging="180"/>
              <w:jc w:val="left"/>
              <w:rPr/>
            </w:pPr>
            <w:r>
              <w:rPr/>
              <w:t>%</w:t>
            </w:r>
          </w:p>
        </w:tc>
      </w:tr>
      <w:tr>
        <w:trPr/>
        <w:tc>
          <w:tcPr>
            <w:tcW w:w="4902"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5,067,816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5,016,309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51,507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89" w:type="dxa"/>
            <w:tcBorders/>
            <w:shd w:fill="FFFFFF" w:val="clear"/>
            <w:vAlign w:val="center"/>
          </w:tcPr>
          <w:p>
            <w:pPr>
              <w:pStyle w:val="TableContents"/>
              <w:bidi w:val="0"/>
              <w:spacing w:before="0" w:after="283"/>
              <w:ind w:left="0" w:right="0" w:hanging="180"/>
              <w:jc w:val="left"/>
              <w:rPr/>
            </w:pPr>
            <w:r>
              <w:rPr/>
              <w:t>%</w:t>
            </w:r>
          </w:p>
        </w:tc>
      </w:tr>
      <w:tr>
        <w:trPr/>
        <w:tc>
          <w:tcPr>
            <w:tcW w:w="4902"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(5,577,788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(5,324,493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(253,295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w:t>
            </w:r>
          </w:p>
        </w:tc>
        <w:tc>
          <w:tcPr>
            <w:tcW w:w="189" w:type="dxa"/>
            <w:tcBorders/>
            <w:shd w:fill="CCEEFF" w:val="clear"/>
            <w:vAlign w:val="center"/>
          </w:tcPr>
          <w:p>
            <w:pPr>
              <w:pStyle w:val="TableContents"/>
              <w:bidi w:val="0"/>
              <w:spacing w:before="0" w:after="283"/>
              <w:ind w:left="0" w:right="0" w:hanging="180"/>
              <w:jc w:val="left"/>
              <w:rPr/>
            </w:pPr>
            <w:r>
              <w:rPr/>
              <w:t>%</w:t>
            </w:r>
          </w:p>
        </w:tc>
      </w:tr>
      <w:tr>
        <w:trPr/>
        <w:tc>
          <w:tcPr>
            <w:tcW w:w="4902"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(2,068,184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(34,112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(2,034,072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5963</w:t>
            </w:r>
          </w:p>
        </w:tc>
        <w:tc>
          <w:tcPr>
            <w:tcW w:w="189" w:type="dxa"/>
            <w:tcBorders/>
            <w:shd w:fill="FFFFFF" w:val="clear"/>
            <w:vAlign w:val="center"/>
          </w:tcPr>
          <w:p>
            <w:pPr>
              <w:pStyle w:val="TableContents"/>
              <w:bidi w:val="0"/>
              <w:spacing w:before="0" w:after="283"/>
              <w:ind w:left="0" w:right="0" w:hanging="180"/>
              <w:jc w:val="left"/>
              <w:rPr/>
            </w:pPr>
            <w:r>
              <w:rPr/>
              <w:t>%</w:t>
            </w:r>
          </w:p>
        </w:tc>
      </w:tr>
      <w:tr>
        <w:trPr/>
        <w:tc>
          <w:tcPr>
            <w:tcW w:w="490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(7,645,972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(5,358,605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(2,287,367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189" w:type="dxa"/>
            <w:tcBorders/>
            <w:shd w:fill="CCEEFF" w:val="clear"/>
            <w:vAlign w:val="center"/>
          </w:tcPr>
          <w:p>
            <w:pPr>
              <w:pStyle w:val="TableContents"/>
              <w:bidi w:val="0"/>
              <w:spacing w:before="0" w:after="283"/>
              <w:ind w:left="0" w:right="0" w:hanging="180"/>
              <w:jc w:val="left"/>
              <w:rPr/>
            </w:pPr>
            <w:r>
              <w:rPr/>
              <w:t>%</w:t>
            </w:r>
          </w:p>
        </w:tc>
      </w:tr>
      <w:tr>
        <w:trPr/>
        <w:tc>
          <w:tcPr>
            <w:tcW w:w="4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ind w:left="0" w:right="0" w:hanging="180"/>
              <w:jc w:val="left"/>
              <w:rPr/>
            </w:pPr>
            <w:r>
              <w:rPr/>
              <w:t> </w:t>
            </w:r>
          </w:p>
        </w:tc>
      </w:tr>
      <w:tr>
        <w:trPr/>
        <w:tc>
          <w:tcPr>
            <w:tcW w:w="4902" w:type="dxa"/>
            <w:tcBorders/>
            <w:shd w:fill="CCEEFF" w:val="clear"/>
            <w:vAlign w:val="center"/>
          </w:tcPr>
          <w:p>
            <w:pPr>
              <w:pStyle w:val="TableContents"/>
              <w:bidi w:val="0"/>
              <w:spacing w:before="0" w:after="283"/>
              <w:jc w:val="left"/>
              <w:rPr/>
            </w:pPr>
            <w:r>
              <w:rPr/>
              <w:t>Weighted average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18,528,262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6,871,200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ind w:left="0" w:right="0" w:hanging="180"/>
              <w:jc w:val="left"/>
              <w:rPr/>
            </w:pPr>
            <w:r>
              <w:rPr/>
              <w:t> </w:t>
            </w:r>
          </w:p>
        </w:tc>
      </w:tr>
      <w:tr>
        <w:trPr/>
        <w:tc>
          <w:tcPr>
            <w:tcW w:w="4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ind w:left="0" w:right="0" w:hanging="180"/>
              <w:jc w:val="left"/>
              <w:rPr/>
            </w:pPr>
            <w:r>
              <w:rPr/>
              <w:t> </w:t>
            </w:r>
          </w:p>
        </w:tc>
      </w:tr>
      <w:tr>
        <w:trPr/>
        <w:tc>
          <w:tcPr>
            <w:tcW w:w="4902"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(0.78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increased $0.03 million to $0.06 million for the three months ended September 30, 2023 from $0.03 million for the same period in 2022. The increase is due primarily to the larger fleet size and platform-level integration with Uber Eats. In 2022, we entered into a multi-year contract with Uber, pursuant to which we can deploy up to 2,000 robots on their platform.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increased $0.23 million to $0.57 million for the three months ended September 30, 2023, compared with $0.34 million for the same period in 2022, due primarily to the larger scale of the fleet operated.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$0.48 million to $1.43 million for the three months ended September 30, 2023, from $0.95 million for the same period in 2022, due primarily to an increase in expenses for legal, audit, and accounting related to the reverse merger as well as increased facility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expenses decreased $0.12 million to $0.56 million for the three months ended September 30, 2023, from $0.68 million for the same period in 2022, due primarily to a reduction in workforce effective December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which represents 58% and 65% of our total operating expenses for the three months ended September 30, 2023, and 2022, respectively, decreased $0.30 million to $3.00 million for the three months ended September 30, 2023, from $3.30 million for the same period in 2022, due primarily to a reduction in workforce effective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stayed consistent at $0.12 million for the three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$0.05 million to $5.07 million for the three months ended September 30, 2023 from $5.02 million for the same period in 2022, due primarily to an increase in costs associated with the reverse merger and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of $1.48 million for the three months ended September 30, 2023, is related to the debt from Silicon Valley Bank and the amortization of debt discount pertaining to the April Notes. Interest expense of .03 million for the three months ended September 30, 2022, is related to the Amortization of Debt Discount as the loan contract with Silicon Valley Bank was entered into in March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the simple agreements for future equity (“SAFEs”) was an expense of $0.44 million for the three months ended September 30, 2023, compared with $0 for the three months ended September 30, 2022. The increase in expense was attributed to the underlying assumptions on the outstanding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losses were $7.65 million and $5.36 million for the three months ended September 30, 2023, and 2022, respectively. The increase in net loss was primarily attributable to an increase in other expenses, mainly the change in fair value of SAFEs, which was offset slightly by the decrease in overall operating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Results of Operations for the Nine Months Ended September 30, 2023 and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operating results as reflected in our unaudited statements of operations during the nine months ended September 30, 2023 and 2022, respectively, and provides information regarding the dollar and percentage increase (or decrease) during such periods.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6"/>
        <w:gridCol w:w="60"/>
        <w:gridCol w:w="140"/>
        <w:gridCol w:w="1175"/>
        <w:gridCol w:w="95"/>
        <w:gridCol w:w="60"/>
        <w:gridCol w:w="140"/>
        <w:gridCol w:w="1175"/>
        <w:gridCol w:w="95"/>
        <w:gridCol w:w="60"/>
        <w:gridCol w:w="140"/>
        <w:gridCol w:w="1055"/>
        <w:gridCol w:w="95"/>
        <w:gridCol w:w="60"/>
        <w:gridCol w:w="108"/>
        <w:gridCol w:w="909"/>
        <w:gridCol w:w="182"/>
      </w:tblGrid>
      <w:tr>
        <w:trPr/>
        <w:tc>
          <w:tcPr>
            <w:tcW w:w="465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Nine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ind w:left="0" w:right="0" w:hanging="180"/>
              <w:jc w:val="left"/>
              <w:rPr/>
            </w:pPr>
            <w:r>
              <w:rPr/>
              <w:t> </w:t>
            </w:r>
          </w:p>
        </w:tc>
      </w:tr>
      <w:tr>
        <w:trPr/>
        <w:tc>
          <w:tcPr>
            <w:tcW w:w="46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ind w:left="0" w:right="0" w:hanging="180"/>
              <w:jc w:val="left"/>
              <w:rPr/>
            </w:pPr>
            <w:r>
              <w:rPr/>
              <w:t> </w:t>
            </w:r>
          </w:p>
        </w:tc>
      </w:tr>
      <w:tr>
        <w:trPr/>
        <w:tc>
          <w:tcPr>
            <w:tcW w:w="46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 %</w:t>
            </w:r>
          </w:p>
        </w:tc>
        <w:tc>
          <w:tcPr>
            <w:tcW w:w="182" w:type="dxa"/>
            <w:tcBorders/>
            <w:vAlign w:val="center"/>
          </w:tcPr>
          <w:p>
            <w:pPr>
              <w:pStyle w:val="TableContents"/>
              <w:bidi w:val="0"/>
              <w:spacing w:before="0" w:after="283"/>
              <w:ind w:left="0" w:right="0" w:hanging="180"/>
              <w:jc w:val="left"/>
              <w:rPr/>
            </w:pPr>
            <w:r>
              <w:rPr/>
              <w:t> </w:t>
            </w:r>
          </w:p>
        </w:tc>
      </w:tr>
      <w:tr>
        <w:trPr/>
        <w:tc>
          <w:tcPr>
            <w:tcW w:w="4656"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164,826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60,689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104,137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172</w:t>
            </w:r>
          </w:p>
        </w:tc>
        <w:tc>
          <w:tcPr>
            <w:tcW w:w="182" w:type="dxa"/>
            <w:tcBorders/>
            <w:shd w:fill="CCEEFF" w:val="clear"/>
            <w:vAlign w:val="center"/>
          </w:tcPr>
          <w:p>
            <w:pPr>
              <w:pStyle w:val="TableContents"/>
              <w:bidi w:val="0"/>
              <w:spacing w:before="0" w:after="283"/>
              <w:ind w:left="0" w:right="0" w:hanging="180"/>
              <w:jc w:val="left"/>
              <w:rPr/>
            </w:pPr>
            <w:r>
              <w:rPr/>
              <w:t>%</w:t>
            </w:r>
          </w:p>
        </w:tc>
      </w:tr>
      <w:tr>
        <w:trPr/>
        <w:tc>
          <w:tcPr>
            <w:tcW w:w="4656"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1,331,165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721,198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609,967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85</w:t>
            </w:r>
          </w:p>
        </w:tc>
        <w:tc>
          <w:tcPr>
            <w:tcW w:w="182" w:type="dxa"/>
            <w:tcBorders/>
            <w:shd w:fill="FFFFFF" w:val="clear"/>
            <w:vAlign w:val="center"/>
          </w:tcPr>
          <w:p>
            <w:pPr>
              <w:pStyle w:val="TableContents"/>
              <w:bidi w:val="0"/>
              <w:spacing w:before="0" w:after="283"/>
              <w:ind w:left="0" w:right="0" w:hanging="180"/>
              <w:jc w:val="left"/>
              <w:rPr/>
            </w:pPr>
            <w:r>
              <w:rPr/>
              <w:t>%</w:t>
            </w:r>
          </w:p>
        </w:tc>
      </w:tr>
      <w:tr>
        <w:trPr/>
        <w:tc>
          <w:tcPr>
            <w:tcW w:w="4656" w:type="dxa"/>
            <w:tcBorders/>
            <w:shd w:fill="CCEEFF" w:val="clear"/>
            <w:vAlign w:val="center"/>
          </w:tcPr>
          <w:p>
            <w:pPr>
              <w:pStyle w:val="TableContents"/>
              <w:bidi w:val="0"/>
              <w:spacing w:before="0" w:after="283"/>
              <w:jc w:val="left"/>
              <w:rPr/>
            </w:pPr>
            <w:r>
              <w:rPr/>
              <w:t>Gross loss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(1,166,339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(660,509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(505,830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ind w:left="0" w:right="0" w:hanging="180"/>
              <w:jc w:val="left"/>
              <w:rPr/>
            </w:pPr>
            <w:r>
              <w:rPr/>
              <w:t> </w:t>
            </w:r>
          </w:p>
        </w:tc>
      </w:tr>
      <w:tr>
        <w:trPr/>
        <w:tc>
          <w:tcPr>
            <w:tcW w:w="46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ind w:left="0" w:right="0" w:hanging="180"/>
              <w:jc w:val="left"/>
              <w:rPr/>
            </w:pPr>
            <w:r>
              <w:rPr/>
              <w:t> </w:t>
            </w:r>
          </w:p>
        </w:tc>
      </w:tr>
      <w:tr>
        <w:trPr/>
        <w:tc>
          <w:tcPr>
            <w:tcW w:w="4656"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ind w:left="0" w:right="0" w:hanging="180"/>
              <w:jc w:val="left"/>
              <w:rPr/>
            </w:pPr>
            <w:r>
              <w:rPr/>
              <w:t> </w:t>
            </w:r>
          </w:p>
        </w:tc>
      </w:tr>
      <w:tr>
        <w:trPr/>
        <w:tc>
          <w:tcPr>
            <w:tcW w:w="4656"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3,414,949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2,666,005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748,944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28</w:t>
            </w:r>
          </w:p>
        </w:tc>
        <w:tc>
          <w:tcPr>
            <w:tcW w:w="182" w:type="dxa"/>
            <w:tcBorders/>
            <w:shd w:fill="FFFFFF" w:val="clear"/>
            <w:vAlign w:val="center"/>
          </w:tcPr>
          <w:p>
            <w:pPr>
              <w:pStyle w:val="TableContents"/>
              <w:bidi w:val="0"/>
              <w:spacing w:before="0" w:after="283"/>
              <w:ind w:left="0" w:right="0" w:hanging="180"/>
              <w:jc w:val="left"/>
              <w:rPr/>
            </w:pPr>
            <w:r>
              <w:rPr/>
              <w:t>%</w:t>
            </w:r>
          </w:p>
        </w:tc>
      </w:tr>
      <w:tr>
        <w:trPr/>
        <w:tc>
          <w:tcPr>
            <w:tcW w:w="4656"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1,555,841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7</w:t>
            </w:r>
          </w:p>
        </w:tc>
        <w:tc>
          <w:tcPr>
            <w:tcW w:w="182" w:type="dxa"/>
            <w:tcBorders/>
            <w:shd w:fill="CCEEFF" w:val="clear"/>
            <w:vAlign w:val="center"/>
          </w:tcPr>
          <w:p>
            <w:pPr>
              <w:pStyle w:val="TableContents"/>
              <w:bidi w:val="0"/>
              <w:spacing w:before="0" w:after="283"/>
              <w:ind w:left="0" w:right="0" w:hanging="180"/>
              <w:jc w:val="left"/>
              <w:rPr/>
            </w:pPr>
            <w:r>
              <w:rPr/>
              <w:t>%</w:t>
            </w:r>
          </w:p>
        </w:tc>
      </w:tr>
      <w:tr>
        <w:trPr/>
        <w:tc>
          <w:tcPr>
            <w:tcW w:w="4656"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7,171,446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9,275,252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(2,103,806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-23</w:t>
            </w:r>
          </w:p>
        </w:tc>
        <w:tc>
          <w:tcPr>
            <w:tcW w:w="182" w:type="dxa"/>
            <w:tcBorders/>
            <w:shd w:fill="FFFFFF" w:val="clear"/>
            <w:vAlign w:val="center"/>
          </w:tcPr>
          <w:p>
            <w:pPr>
              <w:pStyle w:val="TableContents"/>
              <w:bidi w:val="0"/>
              <w:spacing w:before="0" w:after="283"/>
              <w:ind w:left="0" w:right="0" w:hanging="180"/>
              <w:jc w:val="left"/>
              <w:rPr/>
            </w:pPr>
            <w:r>
              <w:rPr/>
              <w:t>%</w:t>
            </w:r>
          </w:p>
        </w:tc>
      </w:tr>
      <w:tr>
        <w:trPr/>
        <w:tc>
          <w:tcPr>
            <w:tcW w:w="4656"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481,511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398,635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82,876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182" w:type="dxa"/>
            <w:tcBorders/>
            <w:shd w:fill="CCEEFF" w:val="clear"/>
            <w:vAlign w:val="center"/>
          </w:tcPr>
          <w:p>
            <w:pPr>
              <w:pStyle w:val="TableContents"/>
              <w:bidi w:val="0"/>
              <w:spacing w:before="0" w:after="283"/>
              <w:ind w:left="0" w:right="0" w:hanging="180"/>
              <w:jc w:val="left"/>
              <w:rPr/>
            </w:pPr>
            <w:r>
              <w:rPr/>
              <w:t>%</w:t>
            </w:r>
          </w:p>
        </w:tc>
      </w:tr>
      <w:tr>
        <w:trPr/>
        <w:tc>
          <w:tcPr>
            <w:tcW w:w="4656"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12,740,309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13,895,733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(1,155,424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182" w:type="dxa"/>
            <w:tcBorders/>
            <w:shd w:fill="FFFFFF" w:val="clear"/>
            <w:vAlign w:val="center"/>
          </w:tcPr>
          <w:p>
            <w:pPr>
              <w:pStyle w:val="TableContents"/>
              <w:bidi w:val="0"/>
              <w:spacing w:before="0" w:after="283"/>
              <w:ind w:left="0" w:right="0" w:hanging="180"/>
              <w:jc w:val="left"/>
              <w:rPr/>
            </w:pPr>
            <w:r>
              <w:rPr/>
              <w:t>%</w:t>
            </w:r>
          </w:p>
        </w:tc>
      </w:tr>
      <w:tr>
        <w:trPr/>
        <w:tc>
          <w:tcPr>
            <w:tcW w:w="4656"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(13,906,648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(14,556,242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649,594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-4</w:t>
            </w:r>
          </w:p>
        </w:tc>
        <w:tc>
          <w:tcPr>
            <w:tcW w:w="182" w:type="dxa"/>
            <w:tcBorders/>
            <w:shd w:fill="CCEEFF" w:val="clear"/>
            <w:vAlign w:val="center"/>
          </w:tcPr>
          <w:p>
            <w:pPr>
              <w:pStyle w:val="TableContents"/>
              <w:bidi w:val="0"/>
              <w:spacing w:before="0" w:after="283"/>
              <w:ind w:left="0" w:right="0" w:hanging="180"/>
              <w:jc w:val="left"/>
              <w:rPr/>
            </w:pPr>
            <w:r>
              <w:rPr/>
              <w:t>%</w:t>
            </w:r>
          </w:p>
        </w:tc>
      </w:tr>
      <w:tr>
        <w:trPr/>
        <w:tc>
          <w:tcPr>
            <w:tcW w:w="4656"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(3,843,702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(44,522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(3,799,180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8533</w:t>
            </w:r>
          </w:p>
        </w:tc>
        <w:tc>
          <w:tcPr>
            <w:tcW w:w="182" w:type="dxa"/>
            <w:tcBorders/>
            <w:shd w:fill="FFFFFF" w:val="clear"/>
            <w:vAlign w:val="center"/>
          </w:tcPr>
          <w:p>
            <w:pPr>
              <w:pStyle w:val="TableContents"/>
              <w:bidi w:val="0"/>
              <w:spacing w:before="0" w:after="283"/>
              <w:ind w:left="0" w:right="0" w:hanging="180"/>
              <w:jc w:val="left"/>
              <w:rPr/>
            </w:pPr>
            <w:r>
              <w:rPr/>
              <w:t>%</w:t>
            </w:r>
          </w:p>
        </w:tc>
      </w:tr>
      <w:tr>
        <w:trPr/>
        <w:tc>
          <w:tcPr>
            <w:tcW w:w="465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(17,750,350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(14,600,764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(3,149,586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182" w:type="dxa"/>
            <w:tcBorders/>
            <w:shd w:fill="CCEEFF" w:val="clear"/>
            <w:vAlign w:val="center"/>
          </w:tcPr>
          <w:p>
            <w:pPr>
              <w:pStyle w:val="TableContents"/>
              <w:bidi w:val="0"/>
              <w:spacing w:before="0" w:after="283"/>
              <w:ind w:left="0" w:right="0" w:hanging="180"/>
              <w:jc w:val="left"/>
              <w:rPr/>
            </w:pPr>
            <w:r>
              <w:rPr/>
              <w:t>%</w:t>
            </w:r>
          </w:p>
        </w:tc>
      </w:tr>
      <w:tr>
        <w:trPr/>
        <w:tc>
          <w:tcPr>
            <w:tcW w:w="46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ind w:left="0" w:right="0" w:hanging="180"/>
              <w:jc w:val="left"/>
              <w:rPr/>
            </w:pPr>
            <w:r>
              <w:rPr/>
              <w:t> </w:t>
            </w:r>
          </w:p>
        </w:tc>
      </w:tr>
      <w:tr>
        <w:trPr/>
        <w:tc>
          <w:tcPr>
            <w:tcW w:w="4656" w:type="dxa"/>
            <w:tcBorders/>
            <w:shd w:fill="CCEEFF" w:val="clear"/>
            <w:vAlign w:val="center"/>
          </w:tcPr>
          <w:p>
            <w:pPr>
              <w:pStyle w:val="TableContents"/>
              <w:bidi w:val="0"/>
              <w:spacing w:before="0" w:after="283"/>
              <w:jc w:val="left"/>
              <w:rPr/>
            </w:pPr>
            <w:r>
              <w:rPr/>
              <w:t>Weighted average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10,674,991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6,990,773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ind w:left="0" w:right="0" w:hanging="180"/>
              <w:jc w:val="left"/>
              <w:rPr/>
            </w:pPr>
            <w:r>
              <w:rPr/>
              <w:t> </w:t>
            </w:r>
          </w:p>
        </w:tc>
      </w:tr>
      <w:tr>
        <w:trPr/>
        <w:tc>
          <w:tcPr>
            <w:tcW w:w="46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ind w:left="0" w:right="0" w:hanging="180"/>
              <w:jc w:val="left"/>
              <w:rPr/>
            </w:pPr>
            <w:r>
              <w:rPr/>
              <w:t> </w:t>
            </w:r>
          </w:p>
        </w:tc>
      </w:tr>
      <w:tr>
        <w:trPr/>
        <w:tc>
          <w:tcPr>
            <w:tcW w:w="4656"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increased $0.10 million to $0.16 million for the nine months ended September 30, 2023 from $0.06 million for the same period in 2022. The increase is due primarily to the larger fleet size and platform-level integration with Uber Eats. In 2022, we entered into a multi-year contract with Uber, pursuant to which we can deploy up to 2,000 robots on their platform.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increased $0.61 million to $1.33 million for the nine months ended September 30, 2023, compared with $0.72 million for the same period in 2022, due primarily to the larger scale of the fleet operated.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$0.75 million to $3.41 million for the nine months ended September 30, 2023, from $2.67 million for the same period in 2022, due primarily to an increase in expenses for legal, audit, and accounting related to the reverse merger as well as increased facility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expenses increased $0.12 million to $1.67 million for the nine months ended September 30, 2023, from $1.56 million for the same period in 2022, due primarily to servicing the larger scale of the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which represents 56% and 67% of our total operating expenses for the nine months ended September 30, 2023, and 2022, respectively, decreased $2.10 million to $7.17 million for the nine months ended September 30, 2023, from $9.28 million for the same period in 2022, due primarily to a reduction in workforce effective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$0.08 million to $0.48 million for the nine months ended September 30, 2023, compared with $0.40 million in the same period in 2022, due primarily to an increase in headcount and public relations spend.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decreased $1.16 million to $12.74 million for the nine months ended September 30, 2023 from $13.90 million for the same period in 2022, primarily due to the reduction in workforce effective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of $2.02 million for the nine months ended September 30, 2023, is related to the debt from Silicon Valley Bank and amortization of debt discount pertaining to the April Notes. Interest expense of $0.04 million for the nine months ended September 30, 2022, is related to the amortization of debt discount as the loan contract with Silicon Valley Bank was entered into in March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the simple agreements for future equity (“SAFEs”) was an expense of $1.67 million for the nine months ended September 30, 2023, compared with other income of $0.04 for the nine months ended September 30, 2022. The increase in expense was attributed to the underlying assumptions on the outstanding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losses were $17.75 million and $14.60 million for the nine months ended September 30, 2023, and 2022, respectively. The increase in net loss was primarily attributable to an increase in other expenses, mainly the change in fair value of SAFEs, which was offset slightly by the decrease in overall operating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Results of Operations for the Year Ended December 31, 2022 and Period from January 15, 2021 (inception) to December 31, 2021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operating results as reflected in our statements of operations during the year ended December 31, 2022 and the period from January 15, 2021 (inception) to December 31, 2021, respectively, and provides information regarding the dollar and percentage increase (or decrease) during such periods.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6"/>
        <w:gridCol w:w="60"/>
        <w:gridCol w:w="148"/>
        <w:gridCol w:w="1252"/>
        <w:gridCol w:w="95"/>
        <w:gridCol w:w="60"/>
        <w:gridCol w:w="148"/>
        <w:gridCol w:w="1252"/>
        <w:gridCol w:w="95"/>
        <w:gridCol w:w="60"/>
        <w:gridCol w:w="140"/>
        <w:gridCol w:w="1175"/>
        <w:gridCol w:w="114"/>
      </w:tblGrid>
      <w:tr>
        <w:trPr/>
        <w:tc>
          <w:tcPr>
            <w:tcW w:w="5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Year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Period from</w:t>
              <w:br/>
              <w:t>January 15,</w:t>
              <w:br/>
              <w:t>2021</w:t>
              <w:br/>
              <w:t>(inception) 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5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5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4" w:type="dxa"/>
            <w:tcBorders/>
            <w:vAlign w:val="center"/>
          </w:tcPr>
          <w:p>
            <w:pPr>
              <w:pStyle w:val="TableContents"/>
              <w:bidi w:val="0"/>
              <w:spacing w:before="0" w:after="283"/>
              <w:jc w:val="left"/>
              <w:rPr/>
            </w:pPr>
            <w:r>
              <w:rPr/>
              <w:t> </w:t>
            </w:r>
          </w:p>
        </w:tc>
      </w:tr>
      <w:tr>
        <w:trPr/>
        <w:tc>
          <w:tcPr>
            <w:tcW w:w="5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107,819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107,819</w:t>
            </w:r>
          </w:p>
        </w:tc>
        <w:tc>
          <w:tcPr>
            <w:tcW w:w="114" w:type="dxa"/>
            <w:tcBorders/>
            <w:shd w:fill="CCEEFF" w:val="clear"/>
            <w:vAlign w:val="center"/>
          </w:tcPr>
          <w:p>
            <w:pPr>
              <w:pStyle w:val="TableContents"/>
              <w:bidi w:val="0"/>
              <w:spacing w:before="0" w:after="283"/>
              <w:jc w:val="left"/>
              <w:rPr/>
            </w:pPr>
            <w:r>
              <w:rPr/>
              <w:t> </w:t>
            </w:r>
          </w:p>
        </w:tc>
      </w:tr>
      <w:tr>
        <w:trPr/>
        <w:tc>
          <w:tcPr>
            <w:tcW w:w="5606"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1,148,426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1,148,426</w:t>
            </w:r>
          </w:p>
        </w:tc>
        <w:tc>
          <w:tcPr>
            <w:tcW w:w="114" w:type="dxa"/>
            <w:tcBorders/>
            <w:shd w:fill="FFFFFF" w:val="clear"/>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(1,040,607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(1,040,607</w:t>
            </w:r>
          </w:p>
        </w:tc>
        <w:tc>
          <w:tcPr>
            <w:tcW w:w="114" w:type="dxa"/>
            <w:tcBorders/>
            <w:shd w:fill="CCEEFF" w:val="clear"/>
            <w:vAlign w:val="center"/>
          </w:tcPr>
          <w:p>
            <w:pPr>
              <w:pStyle w:val="TableContents"/>
              <w:bidi w:val="0"/>
              <w:spacing w:before="0" w:after="283"/>
              <w:jc w:val="left"/>
              <w:rPr/>
            </w:pPr>
            <w:r>
              <w:rPr/>
              <w:t>)</w:t>
            </w:r>
          </w:p>
        </w:tc>
      </w:tr>
      <w:tr>
        <w:trPr/>
        <w:tc>
          <w:tcPr>
            <w:tcW w:w="56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606"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3,786,124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2,465,570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1,320,554</w:t>
            </w:r>
          </w:p>
        </w:tc>
        <w:tc>
          <w:tcPr>
            <w:tcW w:w="114" w:type="dxa"/>
            <w:tcBorders/>
            <w:shd w:fill="FFFFFF" w:val="clear"/>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2,035,063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924,501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1,110,562</w:t>
            </w:r>
          </w:p>
        </w:tc>
        <w:tc>
          <w:tcPr>
            <w:tcW w:w="114" w:type="dxa"/>
            <w:tcBorders/>
            <w:shd w:fill="CCEEFF" w:val="clear"/>
            <w:vAlign w:val="center"/>
          </w:tcPr>
          <w:p>
            <w:pPr>
              <w:pStyle w:val="TableContents"/>
              <w:bidi w:val="0"/>
              <w:spacing w:before="0" w:after="283"/>
              <w:jc w:val="left"/>
              <w:rPr/>
            </w:pPr>
            <w:r>
              <w:rPr/>
              <w:t> </w:t>
            </w:r>
          </w:p>
        </w:tc>
      </w:tr>
      <w:tr>
        <w:trPr/>
        <w:tc>
          <w:tcPr>
            <w:tcW w:w="5606"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13,565,765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7,092,628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6,473,137</w:t>
            </w:r>
          </w:p>
        </w:tc>
        <w:tc>
          <w:tcPr>
            <w:tcW w:w="114" w:type="dxa"/>
            <w:tcBorders/>
            <w:shd w:fill="FFFFFF" w:val="clear"/>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525,494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139,664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385,830</w:t>
            </w:r>
          </w:p>
        </w:tc>
        <w:tc>
          <w:tcPr>
            <w:tcW w:w="114" w:type="dxa"/>
            <w:tcBorders/>
            <w:shd w:fill="CCEEFF" w:val="clear"/>
            <w:vAlign w:val="center"/>
          </w:tcPr>
          <w:p>
            <w:pPr>
              <w:pStyle w:val="TableContents"/>
              <w:bidi w:val="0"/>
              <w:spacing w:before="0" w:after="283"/>
              <w:jc w:val="left"/>
              <w:rPr/>
            </w:pPr>
            <w:r>
              <w:rPr/>
              <w:t> </w:t>
            </w:r>
          </w:p>
        </w:tc>
      </w:tr>
      <w:tr>
        <w:trPr/>
        <w:tc>
          <w:tcPr>
            <w:tcW w:w="5606"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19,912,446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10,622,363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9,290,083</w:t>
            </w:r>
          </w:p>
        </w:tc>
        <w:tc>
          <w:tcPr>
            <w:tcW w:w="114" w:type="dxa"/>
            <w:tcBorders/>
            <w:shd w:fill="FFFFFF" w:val="clear"/>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606"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(20,953,053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(10,622,363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(10,330,690</w:t>
            </w:r>
          </w:p>
        </w:tc>
        <w:tc>
          <w:tcPr>
            <w:tcW w:w="114" w:type="dxa"/>
            <w:tcBorders/>
            <w:shd w:fill="FFFFFF" w:val="clear"/>
            <w:vAlign w:val="center"/>
          </w:tcPr>
          <w:p>
            <w:pPr>
              <w:pStyle w:val="TableContents"/>
              <w:bidi w:val="0"/>
              <w:spacing w:before="0" w:after="283"/>
              <w:jc w:val="left"/>
              <w:rPr/>
            </w:pPr>
            <w:r>
              <w:rPr/>
              <w:t>)</w:t>
            </w:r>
          </w:p>
        </w:tc>
      </w:tr>
      <w:tr>
        <w:trPr/>
        <w:tc>
          <w:tcPr>
            <w:tcW w:w="56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606"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(636,330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(636,330</w:t>
            </w:r>
          </w:p>
        </w:tc>
        <w:tc>
          <w:tcPr>
            <w:tcW w:w="114" w:type="dxa"/>
            <w:tcBorders/>
            <w:shd w:fill="CCEEFF" w:val="clear"/>
            <w:vAlign w:val="center"/>
          </w:tcPr>
          <w:p>
            <w:pPr>
              <w:pStyle w:val="TableContents"/>
              <w:bidi w:val="0"/>
              <w:spacing w:before="0" w:after="283"/>
              <w:jc w:val="left"/>
              <w:rPr/>
            </w:pPr>
            <w:r>
              <w:rPr/>
              <w:t>)</w:t>
            </w:r>
          </w:p>
        </w:tc>
      </w:tr>
      <w:tr>
        <w:trPr/>
        <w:tc>
          <w:tcPr>
            <w:tcW w:w="5606" w:type="dxa"/>
            <w:tcBorders/>
            <w:shd w:fill="FFFFFF" w:val="clear"/>
            <w:vAlign w:val="center"/>
          </w:tcPr>
          <w:p>
            <w:pPr>
              <w:pStyle w:val="TableContents"/>
              <w:bidi w:val="0"/>
              <w:spacing w:before="0" w:after="283"/>
              <w:jc w:val="left"/>
              <w:rPr/>
            </w:pPr>
            <w:r>
              <w:rPr/>
              <w:t>Change in fair value of simple agreements for future equity</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(265,744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(11,043,155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10,777,411</w:t>
            </w:r>
          </w:p>
        </w:tc>
        <w:tc>
          <w:tcPr>
            <w:tcW w:w="114" w:type="dxa"/>
            <w:tcBorders/>
            <w:shd w:fill="FFFFFF" w:val="clear"/>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(902,074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(11,043,155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10,141,081</w:t>
            </w:r>
          </w:p>
        </w:tc>
        <w:tc>
          <w:tcPr>
            <w:tcW w:w="114" w:type="dxa"/>
            <w:tcBorders/>
            <w:shd w:fill="CCEEFF" w:val="clear"/>
            <w:vAlign w:val="center"/>
          </w:tcPr>
          <w:p>
            <w:pPr>
              <w:pStyle w:val="TableContents"/>
              <w:bidi w:val="0"/>
              <w:spacing w:before="0" w:after="283"/>
              <w:jc w:val="left"/>
              <w:rPr/>
            </w:pPr>
            <w:r>
              <w:rPr/>
              <w:t> </w:t>
            </w:r>
          </w:p>
        </w:tc>
      </w:tr>
      <w:tr>
        <w:trPr/>
        <w:tc>
          <w:tcPr>
            <w:tcW w:w="56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560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(21,855,127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(21,665,518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(189,609</w:t>
            </w:r>
          </w:p>
        </w:tc>
        <w:tc>
          <w:tcPr>
            <w:tcW w:w="114" w:type="dxa"/>
            <w:tcBorders/>
            <w:shd w:fill="FFFFFF" w:val="clear"/>
            <w:vAlign w:val="center"/>
          </w:tcPr>
          <w:p>
            <w:pPr>
              <w:pStyle w:val="TableContents"/>
              <w:bidi w:val="0"/>
              <w:spacing w:before="0" w:after="283"/>
              <w:jc w:val="left"/>
              <w:rPr/>
            </w:pPr>
            <w:r>
              <w:rPr/>
              <w:t>)</w:t>
            </w:r>
          </w:p>
        </w:tc>
      </w:tr>
      <w:tr>
        <w:trPr/>
        <w:tc>
          <w:tcPr>
            <w:tcW w:w="56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606" w:type="dxa"/>
            <w:tcBorders/>
            <w:shd w:fill="FFFFFF" w:val="clear"/>
            <w:vAlign w:val="center"/>
          </w:tcPr>
          <w:p>
            <w:pPr>
              <w:pStyle w:val="TableContents"/>
              <w:bidi w:val="0"/>
              <w:spacing w:before="0" w:after="283"/>
              <w:jc w:val="left"/>
              <w:rPr/>
            </w:pPr>
            <w:r>
              <w:rPr/>
              <w:t>Weighted average common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6,896,769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5,622,548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5606"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$0.11 million for the year ended December 31, 2022, compared with $0 for the year ended December 31, 2021. Our 2022 revenue was attributable primarily to delivery revenues and revenues from branding.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$1.15 million for the year ended December 31, 2022, compared with $0 for the year ended December 31, 2021. Cost of revenues in 2022 was attributable to robot costs (depreciation), headcount from operations, and software &amp; network related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$1.32 million to $3.79 million for the year ended December 31, 2022 from $2.47 million for the year ended December 31, 2021, due primarily to an increase in costs related to administrative functions, including finance and accounting, legal, and human resources, as well as general corporate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 increased $1.11 million to $2.04 million for the year ended December 31, 2022, compared with $0.93 million for the year ended December 31, 2021, due primarily to servicing the larger scale of the fleet.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which represented 68.1% and 66.8% of total operating expenses for the year ended December 31, 2022 and 2021, respectively, increased $6.47 million to $13.57 million for the year ended December 31, 2022 from $7.09 million for the year ended December 31, 2021, due primarily to an increase in personnel expenses for product design, hardware, and software.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$0.39 million to $0.53 million for the year ended December 31, 2022 from $0.14 million for the year ended December 31, 2021, due primarily to an increase in personnel costs and public relations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 increased $9.29 million to $19.91 million for the year ended December 31, 2022 from $10.62 million for the year ended December 31, 2021, due primarily to an increase in robot costs (depreciation and lease robots), headcount from operations and software &amp; network related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consisted of $0.64 million for loan and equipment financing for the year ended December 31, 2022. We had no interest expense for the year ended December 31, 2021.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future equity obligations decreased by $10.78 million to $0.27 million for the year ended December 31, 2022, compared to $11.04 million for the year ended December 31, 2021 primarily due to the revaluation of SAFEs immediately prior to conversion into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were $0.90 million and $11.04 million for each of the years ended December 31, 2022 and 2021, respectively primarily due to the conversion of SAFEs into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$0.19 million to $21.86 million for the year ended December 31, 2022 from $21.67 million for the same period in 2021. The increase in net loss was primarily attributed to a loss of $10.33 million from operations and cost of revenues which was offset by a gain of $10.14 million in other income (expense) primarily due to the revaluation of SAFEs immediately prior to conversion into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metrics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the following key business metrics to evaluate our business, measure our performance, identify trends affecting our business, formulate business plans, and make strategic decisions: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1985"/>
        <w:gridCol w:w="60"/>
        <w:gridCol w:w="209"/>
        <w:gridCol w:w="1325"/>
        <w:gridCol w:w="60"/>
        <w:gridCol w:w="60"/>
        <w:gridCol w:w="414"/>
        <w:gridCol w:w="1795"/>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 xml:space="preserve">September 30,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 xml:space="preserve">September 30, </w:t>
              <w:br/>
              <w:t>2022</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53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left"/>
              <w:rPr>
                <w:b/>
              </w:rPr>
            </w:pPr>
            <w:r>
              <w:rPr>
                <w:b/>
              </w:rPr>
              <w:t>Key Metrics</w:t>
            </w:r>
          </w:p>
        </w:tc>
        <w:tc>
          <w:tcPr>
            <w:tcW w:w="60" w:type="dxa"/>
            <w:tcBorders/>
            <w:vAlign w:val="center"/>
          </w:tcPr>
          <w:p>
            <w:pPr>
              <w:pStyle w:val="TableContents"/>
              <w:bidi w:val="0"/>
              <w:spacing w:before="0" w:after="283"/>
              <w:jc w:val="center"/>
              <w:rPr/>
            </w:pPr>
            <w:r>
              <w:rPr/>
              <w:t> </w:t>
            </w:r>
          </w:p>
        </w:tc>
        <w:tc>
          <w:tcPr>
            <w:tcW w:w="153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985" w:type="dxa"/>
            <w:tcBorders/>
            <w:shd w:fill="CCEEFF" w:val="clear"/>
            <w:vAlign w:val="center"/>
          </w:tcPr>
          <w:p>
            <w:pPr>
              <w:pStyle w:val="TableContents"/>
              <w:bidi w:val="0"/>
              <w:spacing w:before="0" w:after="283"/>
              <w:jc w:val="left"/>
              <w:rPr/>
            </w:pPr>
            <w:r>
              <w:rPr/>
              <w:t>Daily Active Robots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 </w:t>
            </w:r>
          </w:p>
        </w:tc>
        <w:tc>
          <w:tcPr>
            <w:tcW w:w="1795"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Daily Supply Hours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795" w:type="dxa"/>
            <w:tcBorders/>
            <w:shd w:fill="FFFFFF" w:val="clear"/>
            <w:vAlign w:val="center"/>
          </w:tcPr>
          <w:p>
            <w:pPr>
              <w:pStyle w:val="TableContents"/>
              <w:bidi w:val="0"/>
              <w:spacing w:before="0" w:after="283"/>
              <w:jc w:val="right"/>
              <w:rPr/>
            </w:pPr>
            <w:r>
              <w:rPr/>
              <w:t>69</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Daily Active Robots: </w:t>
      </w:r>
      <w:r>
        <w:rPr>
          <w:rFonts w:ascii="Times New Roman;Times;Serif" w:hAnsi="Times New Roman;Times;Serif"/>
          <w:b w:val="false"/>
          <w:i w:val="false"/>
          <w:caps w:val="false"/>
          <w:smallCaps w:val="false"/>
          <w:sz w:val="20"/>
        </w:rPr>
        <w:t>We define daily active robots as the average number of robots performing daily deliveries during the period. Daily active robots 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Daily Supply Hours: </w:t>
      </w:r>
      <w:r>
        <w:rPr>
          <w:rFonts w:ascii="Times New Roman;Times;Serif" w:hAnsi="Times New Roman;Times;Serif"/>
          <w:b w:val="false"/>
          <w:i w:val="false"/>
          <w:caps w:val="false"/>
          <w:smallCaps w:val="false"/>
          <w:sz w:val="20"/>
        </w:rPr>
        <w:t>We define daily supply hours as the average number of hours our robots are ready to accept offers and perform daily deliveries during 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by financing activities is our primary source of liquidity. As of September 30, 2023, we had current assets of $5.12 million and current liabilities of $4.86 million, which included $3.50 million in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raise additional working capital to fund operations through the issuance of stock to investors and/or issuance of notes payable. We believe, but there is no assurance, that the net proceeds of approximately $10 million from the initial closing of the Private Placement and our existing cash and cash equivalents will be sufficient to fund our current operating plans for the short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 is dependent on our ability to raise adequate capital to fund operating losses until we can generate liquidity from our business operations. To the extent sufficient financing is not available, we may not be able to, or may be delayed in, developing our offerings and meeting our obligations. We will continue to evaluate our projected expenditures relative to our available cash and evaluate financing alternatives in order to satisfy our working capital and other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our cash and cash equivalents were $3.50 million. The following table shows a summary of our cash flows for the periods presented in millions:</w:t>
      </w:r>
    </w:p>
    <w:p>
      <w:pPr>
        <w:pStyle w:val="TextBody"/>
        <w:bidi w:val="0"/>
        <w:spacing w:before="0" w:after="0"/>
        <w:ind w:left="0" w:right="0" w:hanging="0"/>
        <w:jc w:val="left"/>
        <w:rPr>
          <w:caps w:val="false"/>
          <w:smallCaps w:val="false"/>
        </w:rPr>
      </w:pPr>
      <w:r>
        <w:rPr>
          <w:caps w:val="false"/>
          <w:smallCaps w:val="false"/>
        </w:rPr>
        <w:t> </w:t>
      </w:r>
    </w:p>
    <w:tbl>
      <w:tblPr>
        <w:tblW w:w="6802" w:type="dxa"/>
        <w:jc w:val="left"/>
        <w:tblInd w:w="0" w:type="dxa"/>
        <w:tblLayout w:type="fixed"/>
        <w:tblCellMar>
          <w:top w:w="0" w:type="dxa"/>
          <w:left w:w="0" w:type="dxa"/>
          <w:bottom w:w="0" w:type="dxa"/>
          <w:right w:w="0" w:type="dxa"/>
        </w:tblCellMar>
      </w:tblPr>
      <w:tblGrid>
        <w:gridCol w:w="3590"/>
        <w:gridCol w:w="60"/>
        <w:gridCol w:w="170"/>
        <w:gridCol w:w="772"/>
        <w:gridCol w:w="115"/>
        <w:gridCol w:w="73"/>
        <w:gridCol w:w="170"/>
        <w:gridCol w:w="772"/>
        <w:gridCol w:w="95"/>
        <w:gridCol w:w="60"/>
        <w:gridCol w:w="174"/>
        <w:gridCol w:w="641"/>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4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Cash from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(12.29</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(16.98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41" w:type="dxa"/>
            <w:tcBorders/>
            <w:shd w:fill="CCEEFF" w:val="clear"/>
            <w:vAlign w:val="center"/>
          </w:tcPr>
          <w:p>
            <w:pPr>
              <w:pStyle w:val="TableContents"/>
              <w:bidi w:val="0"/>
              <w:spacing w:before="0" w:after="283"/>
              <w:jc w:val="right"/>
              <w:rPr/>
            </w:pPr>
            <w:r>
              <w:rPr/>
              <w:t>4.69</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Cash from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7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72" w:type="dxa"/>
            <w:tcBorders/>
            <w:shd w:fill="FFFFFF" w:val="clear"/>
            <w:vAlign w:val="center"/>
          </w:tcPr>
          <w:p>
            <w:pPr>
              <w:pStyle w:val="TableContents"/>
              <w:bidi w:val="0"/>
              <w:spacing w:before="0" w:after="283"/>
              <w:jc w:val="right"/>
              <w:rPr/>
            </w:pPr>
            <w:r>
              <w:rPr/>
              <w:t>(0.47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641" w:type="dxa"/>
            <w:tcBorders/>
            <w:shd w:fill="FFFFFF" w:val="clear"/>
            <w:vAlign w:val="center"/>
          </w:tcPr>
          <w:p>
            <w:pPr>
              <w:pStyle w:val="TableContents"/>
              <w:bidi w:val="0"/>
              <w:spacing w:before="0" w:after="283"/>
              <w:jc w:val="right"/>
              <w:rPr/>
            </w:pPr>
            <w:r>
              <w:rPr/>
              <w:t>0.47</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Cash from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13.08</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14.09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41" w:type="dxa"/>
            <w:tcBorders/>
            <w:shd w:fill="CCEEFF" w:val="clear"/>
            <w:vAlign w:val="center"/>
          </w:tcPr>
          <w:p>
            <w:pPr>
              <w:pStyle w:val="TableContents"/>
              <w:bidi w:val="0"/>
              <w:spacing w:before="0" w:after="283"/>
              <w:jc w:val="right"/>
              <w:rPr/>
            </w:pPr>
            <w:r>
              <w:rPr/>
              <w:t>(1.01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$12.29 million and $16.98 million for the nine months ended September 30, 2023, and 2022, respectively. The decrease of $4.69 million was attributable primarily to reduction in inventory purchases in the first half of 2023, reduction in force effective December 1, 2022, stabilization of costs for general operations, and non-cash activity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 and $0.47 million for the nine months ended September 30, 2023, and 2022, respectively. Cash used in investing activities in the nine months ended September 30, 2022 was primarily attributable to security deposits for leased office space and equipment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$13.08 million and $14.09 million for the nine months ended September 30, 2023, and 2022, respectively. In 2023, the Company received net proceeds from the Private Placement of $10.0 million, $2.7 million from SAFEs, and $4.00 million from notes, partially offset by repayments of the lease liability and notes. In 2022, the Company received $10.6 million from SAFEs and $2.5 million from notes.</w:t>
      </w:r>
    </w:p>
    <w:p>
      <w:pPr>
        <w:pStyle w:val="TextBody"/>
        <w:bidi w:val="0"/>
        <w:spacing w:before="0" w:after="0"/>
        <w:ind w:left="0" w:right="0" w:hanging="0"/>
        <w:jc w:val="both"/>
        <w:rPr>
          <w:caps w:val="false"/>
          <w:smallCaps w:val="false"/>
        </w:rPr>
      </w:pPr>
      <w:r>
        <w:rPr>
          <w:caps w:val="false"/>
          <w:smallCaps w:val="false"/>
        </w:rPr>
        <w:t> </w:t>
      </w:r>
    </w:p>
    <w:tbl>
      <w:tblPr>
        <w:tblW w:w="9035" w:type="dxa"/>
        <w:jc w:val="left"/>
        <w:tblInd w:w="0" w:type="dxa"/>
        <w:tblLayout w:type="fixed"/>
        <w:tblCellMar>
          <w:top w:w="0" w:type="dxa"/>
          <w:left w:w="0" w:type="dxa"/>
          <w:bottom w:w="0" w:type="dxa"/>
          <w:right w:w="0" w:type="dxa"/>
        </w:tblCellMar>
      </w:tblPr>
      <w:tblGrid>
        <w:gridCol w:w="4610"/>
        <w:gridCol w:w="60"/>
        <w:gridCol w:w="140"/>
        <w:gridCol w:w="1175"/>
        <w:gridCol w:w="95"/>
        <w:gridCol w:w="60"/>
        <w:gridCol w:w="140"/>
        <w:gridCol w:w="1175"/>
        <w:gridCol w:w="95"/>
        <w:gridCol w:w="60"/>
        <w:gridCol w:w="140"/>
        <w:gridCol w:w="1175"/>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Net cash (used in) provided by:</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(21,402,786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(10,709,450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(10,693,336</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(4,060,962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(3,802,230</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20,213,606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18,934,043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1,279,563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(5,250,142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7,965,861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(13,216,003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$21.40 million and $10.71 million for the years ended December 31, 2022 and 2021, respectively. The increase of $10.69 million was attributable primarily to increase in operating expenses including headcount &amp; personnel costs, research and development, and support to revenue producing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$4.06 million for the year ended December 31, 2022 and net cash provided by investing activities was $0.26 million for the year ended December 31, 2021. The $3.80 million change in cash used in investing activities was attributable primarily to the increase in property and equipment for second generation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$20.21 million and $18.93 million for the years ended December 31, 2022 and 2021, respectively. The increase of $1.28 million was attributable primarily to proceeds from SAFEs and proceeds from Silicon Valley Bank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we entered into a term loan with Silicon Valley Bank for gross proceeds of $2.50 million with a maturity date of March 1, 2025. The loan accrues interest at the greater of 3.25% or prime rate. Principal payments commenced on October 1, 2022, and the loan is repayable in 30 installments of principal and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an equipment financing lease agreement with Farnam Street in June 2022, commencing November 2022, for the cost of building robots, calling for 24 monthly payments of approximately $0.19 million based on an expected total cost of $4.46 million of robot parts and manufacturing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significant contractual obligations as of September 30,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9"/>
        <w:gridCol w:w="60"/>
        <w:gridCol w:w="176"/>
        <w:gridCol w:w="1243"/>
        <w:gridCol w:w="60"/>
        <w:gridCol w:w="60"/>
        <w:gridCol w:w="156"/>
        <w:gridCol w:w="1103"/>
        <w:gridCol w:w="60"/>
        <w:gridCol w:w="60"/>
        <w:gridCol w:w="331"/>
        <w:gridCol w:w="1647"/>
        <w:gridCol w:w="60"/>
        <w:gridCol w:w="60"/>
        <w:gridCol w:w="143"/>
        <w:gridCol w:w="967"/>
        <w:gridCol w:w="60"/>
        <w:gridCol w:w="60"/>
        <w:gridCol w:w="140"/>
        <w:gridCol w:w="980"/>
        <w:gridCol w:w="80"/>
      </w:tblGrid>
      <w:tr>
        <w:trPr/>
        <w:tc>
          <w:tcPr>
            <w:tcW w:w="26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Remaining</w:t>
              <w:br/>
              <w:t>Period of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One Year</w:t>
              <w:br/>
              <w:t>and Less</w:t>
              <w:br/>
              <w:t>than</w:t>
              <w:br/>
              <w:t>Three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Three Years and Less</w:t>
              <w:br/>
              <w:t>than</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0" w:type="dxa"/>
            <w:tcBorders/>
            <w:vAlign w:val="center"/>
          </w:tcPr>
          <w:p>
            <w:pPr>
              <w:pStyle w:val="TableContents"/>
              <w:bidi w:val="0"/>
              <w:spacing w:before="0" w:after="283"/>
              <w:jc w:val="left"/>
              <w:rPr/>
            </w:pPr>
            <w:r>
              <w:rPr/>
              <w:t> </w:t>
            </w:r>
          </w:p>
        </w:tc>
      </w:tr>
      <w:tr>
        <w:trPr/>
        <w:tc>
          <w:tcPr>
            <w:tcW w:w="2699" w:type="dxa"/>
            <w:tcBorders/>
            <w:shd w:fill="CCEEFF" w:val="clear"/>
            <w:vAlign w:val="center"/>
          </w:tcPr>
          <w:p>
            <w:pPr>
              <w:pStyle w:val="TableContents"/>
              <w:bidi w:val="0"/>
              <w:spacing w:before="0" w:after="283"/>
              <w:jc w:val="left"/>
              <w:rPr>
                <w:b/>
              </w:rPr>
            </w:pPr>
            <w:r>
              <w:rPr>
                <w:b/>
              </w:rPr>
              <w:t>Operating lease obligations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139,077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742,759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64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881,836</w:t>
            </w:r>
          </w:p>
        </w:tc>
        <w:tc>
          <w:tcPr>
            <w:tcW w:w="80" w:type="dxa"/>
            <w:tcBorders/>
            <w:shd w:fill="CCEEFF" w:val="clear"/>
            <w:vAlign w:val="center"/>
          </w:tcPr>
          <w:p>
            <w:pPr>
              <w:pStyle w:val="TableContents"/>
              <w:bidi w:val="0"/>
              <w:spacing w:before="0" w:after="283"/>
              <w:jc w:val="left"/>
              <w:rPr/>
            </w:pPr>
            <w:r>
              <w:rPr/>
              <w:t> </w:t>
            </w:r>
          </w:p>
        </w:tc>
      </w:tr>
      <w:tr>
        <w:trPr/>
        <w:tc>
          <w:tcPr>
            <w:tcW w:w="2699" w:type="dxa"/>
            <w:tcBorders/>
            <w:shd w:fill="FFFFFF" w:val="clear"/>
            <w:vAlign w:val="center"/>
          </w:tcPr>
          <w:p>
            <w:pPr>
              <w:pStyle w:val="TableContents"/>
              <w:bidi w:val="0"/>
              <w:spacing w:before="0" w:after="283"/>
              <w:jc w:val="left"/>
              <w:rPr>
                <w:b/>
              </w:rPr>
            </w:pPr>
            <w:r>
              <w:rPr>
                <w:b/>
              </w:rPr>
              <w:t>Loan Financing Facility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1,500,000</w:t>
            </w:r>
          </w:p>
        </w:tc>
        <w:tc>
          <w:tcPr>
            <w:tcW w:w="80" w:type="dxa"/>
            <w:tcBorders/>
            <w:shd w:fill="FFFFFF" w:val="clear"/>
            <w:vAlign w:val="center"/>
          </w:tcPr>
          <w:p>
            <w:pPr>
              <w:pStyle w:val="TableContents"/>
              <w:bidi w:val="0"/>
              <w:spacing w:before="0" w:after="283"/>
              <w:jc w:val="left"/>
              <w:rPr/>
            </w:pPr>
            <w:r>
              <w:rPr/>
              <w:t> </w:t>
            </w:r>
          </w:p>
        </w:tc>
      </w:tr>
      <w:tr>
        <w:trPr/>
        <w:tc>
          <w:tcPr>
            <w:tcW w:w="2699" w:type="dxa"/>
            <w:tcBorders/>
            <w:shd w:fill="CCEEFF" w:val="clear"/>
            <w:vAlign w:val="center"/>
          </w:tcPr>
          <w:p>
            <w:pPr>
              <w:pStyle w:val="TableContents"/>
              <w:bidi w:val="0"/>
              <w:spacing w:before="0" w:after="283"/>
              <w:jc w:val="left"/>
              <w:rPr>
                <w:b/>
              </w:rPr>
            </w:pPr>
            <w:r>
              <w:rPr>
                <w:b/>
              </w:rPr>
              <w:t>Equipment Financing Facility</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2,081,882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337,087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2,418,969</w:t>
            </w:r>
          </w:p>
        </w:tc>
        <w:tc>
          <w:tcPr>
            <w:tcW w:w="80" w:type="dxa"/>
            <w:tcBorders/>
            <w:shd w:fill="CCEEFF" w:val="clear"/>
            <w:vAlign w:val="center"/>
          </w:tcPr>
          <w:p>
            <w:pPr>
              <w:pStyle w:val="TableContents"/>
              <w:bidi w:val="0"/>
              <w:spacing w:before="0" w:after="283"/>
              <w:jc w:val="left"/>
              <w:rPr/>
            </w:pPr>
            <w:r>
              <w:rPr/>
              <w:t> </w:t>
            </w:r>
          </w:p>
        </w:tc>
      </w:tr>
      <w:tr>
        <w:trPr/>
        <w:tc>
          <w:tcPr>
            <w:tcW w:w="2699"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3,220,959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1,579,846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64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6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4,800,805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the company entered into a strategic supply agreement with a manufacturer of component parts used for the Company’s robot assets. The agreement calls for a minimum of $2.30 million in purchases over a two-year period ending December 2023. At the end of the two-year period, the vendor may invoice the Company for any shortfall in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minimum spend agreements related to simulation software and storage services. The purchase commitments extend for a period of two to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such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and the related notes thereto included in this prospectus are prepared in accordance with United States generally accepted accounting principles. The preparation of consolidated financial statements also requires us to make estimates and assumptions that affect the reported amounts of assets, liabilities, revenue, costs and expenses, and related disclosures. These estimates are developed based on historical experience and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 and cash flows will be affected. We believe that the accounting policies described below involve a greater degree of judgment and complexity. Accordingly, these are the estimates we believe are most critical to aid in fully understanding and evaluating our consolidated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ASC 606 – Revenue from Contracts with Customers (“ASC 606”).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00"/>
        <w:gridCol w:w="9716"/>
      </w:tblGrid>
      <w:tr>
        <w:trPr/>
        <w:tc>
          <w:tcPr>
            <w:tcW w:w="8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w:t>
            </w:r>
          </w:p>
        </w:tc>
        <w:tc>
          <w:tcPr>
            <w:tcW w:w="9716" w:type="dxa"/>
            <w:tcBorders/>
            <w:vAlign w:val="center"/>
          </w:tcPr>
          <w:p>
            <w:pPr>
              <w:pStyle w:val="TableContents"/>
              <w:bidi w:val="0"/>
              <w:spacing w:before="0" w:after="283"/>
              <w:jc w:val="both"/>
              <w:rPr/>
            </w:pPr>
            <w:r>
              <w:rPr/>
              <w:t>Identification of a contract with a customer;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5"/>
        <w:gridCol w:w="9845"/>
      </w:tblGrid>
      <w:tr>
        <w:trPr/>
        <w:tc>
          <w:tcPr>
            <w:tcW w:w="6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Identification of the performance obligations in the contract;</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50"/>
        <w:gridCol w:w="9655"/>
      </w:tblGrid>
      <w:tr>
        <w:trPr/>
        <w:tc>
          <w:tcPr>
            <w:tcW w:w="1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w:t>
            </w:r>
          </w:p>
        </w:tc>
        <w:tc>
          <w:tcPr>
            <w:tcW w:w="9655" w:type="dxa"/>
            <w:tcBorders/>
            <w:vAlign w:val="center"/>
          </w:tcPr>
          <w:p>
            <w:pPr>
              <w:pStyle w:val="TableContents"/>
              <w:bidi w:val="0"/>
              <w:spacing w:before="0" w:after="283"/>
              <w:jc w:val="both"/>
              <w:rPr/>
            </w:pPr>
            <w:r>
              <w:rPr/>
              <w:t>Determination of the transaction price;</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Allocation of the transaction price to the performance obligations in the contract; and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Recognition of revenue when or as the performance obligations are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Lease Recognition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Financial Accounting Standards Board (“FASB”) issued ASU 2016 02, Leases (ASC 842). This ASU requires a lessee to recognize a right-of-use asset and a lease liability under most operating leases in its balance sheet. The ASU is effective for annual and interim periods beginning after December 15, 2021. Early adoption is permitted. The Company adopted ASC 842 on January 1, 2022, and did not require retrospective medication.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or includes an embedded lease, at inception for each contract or agreement. A contract is or contains an embedded lease if the contract meets all of the below criteria:</w:t>
      </w:r>
    </w:p>
    <w:p>
      <w:pPr>
        <w:pStyle w:val="TextBody"/>
        <w:bidi w:val="0"/>
        <w:spacing w:before="0" w:after="0"/>
        <w:ind w:left="0" w:right="0" w:hanging="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23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510" w:type="dxa"/>
            <w:tcBorders/>
            <w:vAlign w:val="center"/>
          </w:tcPr>
          <w:p>
            <w:pPr>
              <w:pStyle w:val="TableContents"/>
              <w:bidi w:val="0"/>
              <w:spacing w:before="0" w:after="283"/>
              <w:jc w:val="both"/>
              <w:rPr/>
            </w:pPr>
            <w:r>
              <w:rPr/>
              <w:t>there is an identified asset;</w:t>
            </w:r>
          </w:p>
        </w:tc>
      </w:tr>
    </w:tbl>
    <w:p>
      <w:pPr>
        <w:pStyle w:val="TextBody"/>
        <w:bidi w:val="0"/>
        <w:spacing w:before="0" w:after="0"/>
        <w:ind w:left="0" w:right="0" w:hanging="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29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505" w:type="dxa"/>
            <w:tcBorders/>
            <w:vAlign w:val="center"/>
          </w:tcPr>
          <w:p>
            <w:pPr>
              <w:pStyle w:val="TableContents"/>
              <w:bidi w:val="0"/>
              <w:spacing w:before="0" w:after="283"/>
              <w:jc w:val="both"/>
              <w:rPr/>
            </w:pPr>
            <w:r>
              <w:rPr/>
              <w:t>the Company obtains substantially all of the economic benefits of the asset; and</w:t>
            </w:r>
          </w:p>
        </w:tc>
      </w:tr>
    </w:tbl>
    <w:p>
      <w:pPr>
        <w:pStyle w:val="TextBody"/>
        <w:bidi w:val="0"/>
        <w:spacing w:before="0" w:after="0"/>
        <w:ind w:left="0" w:right="0" w:hanging="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35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240" w:type="dxa"/>
            <w:tcBorders/>
            <w:vAlign w:val="center"/>
          </w:tcPr>
          <w:p>
            <w:pPr>
              <w:pStyle w:val="TableContents"/>
              <w:bidi w:val="0"/>
              <w:spacing w:before="0" w:after="283"/>
              <w:jc w:val="both"/>
              <w:rPr/>
            </w:pPr>
            <w:r>
              <w:rPr/>
              <w:t>the Company has the right to direct the use of the asset.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include office and warehouse space. Right-of-use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practical expedient not to recognize leases with an initial term of 12 months or less on its balance sheets and lease expense is recognized on a straight-line basis over the term of the short-term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compensation in accordance with ASC 718, </w:t>
      </w:r>
      <w:r>
        <w:rPr>
          <w:rFonts w:ascii="Times New Roman;Times;Serif" w:hAnsi="Times New Roman;Times;Serif"/>
          <w:b w:val="false"/>
          <w:i/>
          <w:caps w:val="false"/>
          <w:smallCaps w:val="false"/>
          <w:sz w:val="20"/>
        </w:rPr>
        <w:t xml:space="preserve">Compensation - Stock Compensation. </w:t>
      </w:r>
      <w:r>
        <w:rPr>
          <w:rFonts w:ascii="Times New Roman;Times;Serif" w:hAnsi="Times New Roman;Times;Serif"/>
          <w:b w:val="false"/>
          <w:i w:val="false"/>
          <w:caps w:val="false"/>
          <w:smallCaps w:val="false"/>
          <w:sz w:val="20"/>
        </w:rPr>
        <w:t>The Company measures all stock-based awards granted to employees, directors and non-employee consultants based on the fair value on the date of the grant and recognizes compensation expense for those awards, net of estimated forfeitures,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expenses in its statement of operations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expenses could be materially different for future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Time (i) Grassi &amp; Co., CPAs, P.C. (“Grassi”), was dismissed as the independent registered public accounting firm of the Company, and (ii) our board of directors engaged dbbmckennon (“dbbmckennon”) as the independent registered public accounting firm to audit the Company’s financial statements for the fiscal years ending 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2022 and 2021, and the subsequent interim period through the date of Grassi’s dismissal, there were no disagreements with Grassi on any matter of accounting principles or practices, financial statement disclosure or auditing scope or procedure, which disagreements, if not resolved to the satisfaction of Grassi, would have caused it to make reference to the subject matter thereof in connection with its report, nor did its report contain an adverse opinion or a disclaimer of opinion, or was qualified or modified as to uncertainty, audit scope, or accounting principle.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2022 and 2021, and the subsequent interim period through the date of Grassi’s dismissal, neither the Company nor anyone acting on its behalf consulted dbbmckennon regarding the application of accounting principles to a specified transaction, either completed or proposed, or the type of audit opinion that might be rendered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Grassi with a copy of this registration statement prior to the filing hereof and have requested that Grassi furnish to us a letter addressed to the SEC stating whether Grassi agrees with the statements made herein. Grassi has furnished such letter, which is filed as Exhibit 16.1 hereto, as required by Item 304(a)(3)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r_011"/>
      <w:bookmarkEnd w:id="12"/>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directors as of November 17, 2023:</w:t>
      </w:r>
    </w:p>
    <w:p>
      <w:pPr>
        <w:pStyle w:val="TextBody"/>
        <w:bidi w:val="0"/>
        <w:spacing w:before="0" w:after="0"/>
        <w:ind w:left="0" w:right="0" w:firstLine="720"/>
        <w:jc w:val="both"/>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2465"/>
        <w:gridCol w:w="60"/>
        <w:gridCol w:w="425"/>
        <w:gridCol w:w="60"/>
        <w:gridCol w:w="4940"/>
      </w:tblGrid>
      <w:tr>
        <w:trPr/>
        <w:tc>
          <w:tcPr>
            <w:tcW w:w="246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4940" w:type="dxa"/>
            <w:tcBorders>
              <w:bottom w:val="single" w:sz="12" w:space="0" w:color="000000"/>
            </w:tcBorders>
            <w:vAlign w:val="center"/>
          </w:tcPr>
          <w:p>
            <w:pPr>
              <w:pStyle w:val="TableContents"/>
              <w:bidi w:val="0"/>
              <w:spacing w:before="0" w:after="283"/>
              <w:jc w:val="left"/>
              <w:rPr>
                <w:b/>
              </w:rPr>
            </w:pPr>
            <w:r>
              <w:rPr>
                <w:b/>
              </w:rPr>
              <w:t>Positions</w:t>
            </w:r>
          </w:p>
        </w:tc>
      </w:tr>
      <w:tr>
        <w:trPr/>
        <w:tc>
          <w:tcPr>
            <w:tcW w:w="2465" w:type="dxa"/>
            <w:tcBorders/>
            <w:shd w:fill="FFFFFF" w:val="clear"/>
            <w:tcMar>
              <w:bottom w:w="0" w:type="dxa"/>
            </w:tcMar>
            <w:vAlign w:val="center"/>
          </w:tcPr>
          <w:p>
            <w:pPr>
              <w:pStyle w:val="TableContents"/>
              <w:bidi w:val="0"/>
              <w:spacing w:before="0" w:after="283"/>
              <w:jc w:val="left"/>
              <w:rPr>
                <w:b/>
                <w:i/>
              </w:rPr>
            </w:pPr>
            <w:r>
              <w:rPr>
                <w:b/>
                <w:i/>
              </w:rPr>
              <w:t>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283"/>
              <w:jc w:val="left"/>
              <w:rPr/>
            </w:pPr>
            <w:r>
              <w:rPr/>
              <w:t>Ali Kashani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Chief Executive Officer and Chairman of the Board</w:t>
            </w:r>
          </w:p>
        </w:tc>
      </w:tr>
      <w:tr>
        <w:trPr/>
        <w:tc>
          <w:tcPr>
            <w:tcW w:w="2465" w:type="dxa"/>
            <w:tcBorders/>
            <w:shd w:fill="FFFFFF" w:val="clear"/>
            <w:tcMar>
              <w:bottom w:w="0" w:type="dxa"/>
            </w:tcMar>
            <w:vAlign w:val="center"/>
          </w:tcPr>
          <w:p>
            <w:pPr>
              <w:pStyle w:val="TableContents"/>
              <w:bidi w:val="0"/>
              <w:spacing w:before="0" w:after="283"/>
              <w:jc w:val="left"/>
              <w:rPr/>
            </w:pPr>
            <w:r>
              <w:rPr/>
              <w:t>Touraj Parang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pPr>
            <w:r>
              <w:rPr/>
              <w:t>President, Chief Operating Officer and Director</w:t>
            </w:r>
          </w:p>
        </w:tc>
      </w:tr>
      <w:tr>
        <w:trPr/>
        <w:tc>
          <w:tcPr>
            <w:tcW w:w="2465" w:type="dxa"/>
            <w:tcBorders/>
            <w:shd w:fill="CCEEFF" w:val="clear"/>
            <w:tcMar>
              <w:bottom w:w="0" w:type="dxa"/>
            </w:tcMar>
            <w:vAlign w:val="center"/>
          </w:tcPr>
          <w:p>
            <w:pPr>
              <w:pStyle w:val="TableContents"/>
              <w:bidi w:val="0"/>
              <w:spacing w:before="0" w:after="283"/>
              <w:jc w:val="left"/>
              <w:rPr/>
            </w:pPr>
            <w:r>
              <w:rPr/>
              <w:t>April Pannell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Chief Financial Officer</w:t>
            </w:r>
          </w:p>
        </w:tc>
      </w:tr>
      <w:tr>
        <w:trPr/>
        <w:tc>
          <w:tcPr>
            <w:tcW w:w="2465" w:type="dxa"/>
            <w:tcBorders/>
            <w:shd w:fill="FFFFFF" w:val="clear"/>
            <w:tcMar>
              <w:bottom w:w="0" w:type="dxa"/>
            </w:tcMar>
            <w:vAlign w:val="center"/>
          </w:tcPr>
          <w:p>
            <w:pPr>
              <w:pStyle w:val="TableContents"/>
              <w:bidi w:val="0"/>
              <w:spacing w:before="0" w:after="283"/>
              <w:jc w:val="left"/>
              <w:rPr/>
            </w:pPr>
            <w:r>
              <w:rPr/>
              <w:t>Euan Abraham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pPr>
            <w:r>
              <w:rPr/>
              <w:t>Senior Vice President of Hardware Engineering</w:t>
            </w:r>
          </w:p>
        </w:tc>
      </w:tr>
      <w:tr>
        <w:trPr/>
        <w:tc>
          <w:tcPr>
            <w:tcW w:w="24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283"/>
              <w:jc w:val="left"/>
              <w:rPr>
                <w:b/>
                <w:i/>
              </w:rPr>
            </w:pPr>
            <w:r>
              <w:rPr>
                <w:b/>
                <w:i/>
              </w:rPr>
              <w:t>Non-Employee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283"/>
              <w:jc w:val="left"/>
              <w:rPr/>
            </w:pPr>
            <w:r>
              <w:rPr/>
              <w:t>James Buckly Jordan</w:t>
            </w:r>
            <w:r>
              <w:rPr>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Director</w:t>
            </w:r>
          </w:p>
        </w:tc>
      </w:tr>
      <w:tr>
        <w:trPr/>
        <w:tc>
          <w:tcPr>
            <w:tcW w:w="2465" w:type="dxa"/>
            <w:tcBorders/>
            <w:shd w:fill="FFFFFF" w:val="clear"/>
            <w:tcMar>
              <w:bottom w:w="0" w:type="dxa"/>
            </w:tcMar>
            <w:vAlign w:val="center"/>
          </w:tcPr>
          <w:p>
            <w:pPr>
              <w:pStyle w:val="TableContents"/>
              <w:bidi w:val="0"/>
              <w:spacing w:before="0" w:after="283"/>
              <w:jc w:val="left"/>
              <w:rPr/>
            </w:pPr>
            <w:r>
              <w:rPr/>
              <w:t>Sarfraz Maredia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pPr>
            <w:r>
              <w:rPr/>
              <w:t>Director</w:t>
            </w:r>
          </w:p>
        </w:tc>
      </w:tr>
      <w:tr>
        <w:trPr/>
        <w:tc>
          <w:tcPr>
            <w:tcW w:w="2465" w:type="dxa"/>
            <w:tcBorders/>
            <w:shd w:fill="CCEEFF" w:val="clear"/>
            <w:tcMar>
              <w:bottom w:w="0" w:type="dxa"/>
            </w:tcMar>
            <w:vAlign w:val="center"/>
          </w:tcPr>
          <w:p>
            <w:pPr>
              <w:pStyle w:val="TableContents"/>
              <w:bidi w:val="0"/>
              <w:spacing w:before="0" w:after="283"/>
              <w:jc w:val="left"/>
              <w:rPr/>
            </w:pPr>
            <w:r>
              <w:rPr/>
              <w:t>Ali Pourdad</w:t>
            </w:r>
            <w:r>
              <w:rPr>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Director</w:t>
            </w:r>
          </w:p>
        </w:tc>
      </w:tr>
      <w:tr>
        <w:trPr/>
        <w:tc>
          <w:tcPr>
            <w:tcW w:w="2465" w:type="dxa"/>
            <w:tcBorders/>
            <w:shd w:fill="FFFFFF" w:val="clear"/>
            <w:tcMar>
              <w:bottom w:w="0" w:type="dxa"/>
            </w:tcMar>
            <w:vAlign w:val="center"/>
          </w:tcPr>
          <w:p>
            <w:pPr>
              <w:pStyle w:val="TableContents"/>
              <w:bidi w:val="0"/>
              <w:spacing w:before="0" w:after="283"/>
              <w:jc w:val="left"/>
              <w:rPr/>
            </w:pPr>
            <w:r>
              <w:rPr/>
              <w:t>Olivier Vincent</w:t>
            </w:r>
            <w:r>
              <w:rPr>
                <w:position w:val="7"/>
                <w:sz w:val="16"/>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40" w:type="dxa"/>
            <w:tcBorders/>
            <w:shd w:fill="FFFFFF" w:val="clear"/>
            <w:tcMar>
              <w:bottom w:w="0" w:type="dxa"/>
            </w:tcMar>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305"/>
        <w:gridCol w:w="5210"/>
      </w:tblGrid>
      <w:tr>
        <w:trPr/>
        <w:tc>
          <w:tcPr>
            <w:tcW w:w="305" w:type="dxa"/>
            <w:tcBorders/>
            <w:vAlign w:val="center"/>
          </w:tcPr>
          <w:p>
            <w:pPr>
              <w:pStyle w:val="TableContents"/>
              <w:bidi w:val="0"/>
              <w:spacing w:before="0" w:after="283"/>
              <w:jc w:val="left"/>
              <w:rPr/>
            </w:pPr>
            <w:r>
              <w:rPr/>
              <w:t>(1)</w:t>
            </w:r>
          </w:p>
        </w:tc>
        <w:tc>
          <w:tcPr>
            <w:tcW w:w="5210" w:type="dxa"/>
            <w:tcBorders/>
            <w:vAlign w:val="center"/>
          </w:tcPr>
          <w:p>
            <w:pPr>
              <w:pStyle w:val="TableContents"/>
              <w:bidi w:val="0"/>
              <w:spacing w:before="0" w:after="283"/>
              <w:jc w:val="left"/>
              <w:rPr/>
            </w:pPr>
            <w:r>
              <w:rPr/>
              <w:t>Member of the nominating and governance committee.</w:t>
            </w:r>
          </w:p>
        </w:tc>
      </w:tr>
      <w:tr>
        <w:trPr/>
        <w:tc>
          <w:tcPr>
            <w:tcW w:w="305"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(2)</w:t>
            </w:r>
          </w:p>
        </w:tc>
        <w:tc>
          <w:tcPr>
            <w:tcW w:w="5210" w:type="dxa"/>
            <w:tcBorders/>
            <w:vAlign w:val="center"/>
          </w:tcPr>
          <w:p>
            <w:pPr>
              <w:pStyle w:val="TableContents"/>
              <w:bidi w:val="0"/>
              <w:spacing w:before="0" w:after="283"/>
              <w:jc w:val="left"/>
              <w:rPr/>
            </w:pPr>
            <w:r>
              <w:rPr/>
              <w:t>Member of the audit committee.</w:t>
            </w:r>
          </w:p>
        </w:tc>
      </w:tr>
      <w:tr>
        <w:trPr/>
        <w:tc>
          <w:tcPr>
            <w:tcW w:w="305"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(3)</w:t>
            </w:r>
          </w:p>
        </w:tc>
        <w:tc>
          <w:tcPr>
            <w:tcW w:w="5210" w:type="dxa"/>
            <w:tcBorders/>
            <w:vAlign w:val="center"/>
          </w:tcPr>
          <w:p>
            <w:pPr>
              <w:pStyle w:val="TableContents"/>
              <w:bidi w:val="0"/>
              <w:spacing w:before="0" w:after="283"/>
              <w:jc w:val="left"/>
              <w:rPr/>
            </w:pPr>
            <w:r>
              <w:rPr/>
              <w:t>Member of the compensation committee.</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Ali Kashani </w:t>
      </w:r>
      <w:r>
        <w:rPr>
          <w:rFonts w:ascii="Times New Roman;Times;Serif" w:hAnsi="Times New Roman;Times;Serif"/>
          <w:b w:val="false"/>
          <w:i w:val="false"/>
          <w:caps w:val="false"/>
          <w:smallCaps w:val="false"/>
          <w:sz w:val="20"/>
        </w:rPr>
        <w:t>co-founded Serve Robotics Inc. in January 2021 and has served as its Chief Executive Officer and a member of the board of directors of Serve (the “Board”) since then. Prior to co-founding Serve, he served as Vice President of Postmates Inc., an on-demand food delivery platform, from July 2017 to January 2021. Dr. Kashani received both his Bachelor of Science in Computer Engineering and his Doctorate in Robotics from the University of British Columbia. Dr. Kashani has served on the Board since the Company’s formation, and we believe he is qualified to remain on the Board due to the institutional knowledge he brings as Co-Founder and Chief Executive Officer of the Company and his business and robotics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Touraj Parang</w:t>
      </w:r>
      <w:r>
        <w:rPr>
          <w:rFonts w:ascii="Times New Roman;Times;Serif" w:hAnsi="Times New Roman;Times;Serif"/>
          <w:b w:val="false"/>
          <w:i w:val="false"/>
          <w:caps w:val="false"/>
          <w:smallCaps w:val="false"/>
          <w:sz w:val="20"/>
        </w:rPr>
        <w:t xml:space="preserve"> has served as Serve’s Chief Operating Officer and as a member of the Board since March 2021, and was appointed President of Serve in July 2022. Prior to joining Serve, Mr. Parang worked at GoDaddy Inc. (NYSE: GDDY) from May 2014 to March 2021, where he began as Senior Director of Corporate Development and most recently served as Vice President of Corporate Development. Mr. Parang received his Bachelor of Arts in Philosophy and Economics from Stanford University and his Juris Doctorate from Yale Law School. We believe that Mr. Parang is qualified to serve on the Serve’s Board due to his extensive experience with early-stage startups and prior leadership role at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Euan Abraham</w:t>
      </w:r>
      <w:r>
        <w:rPr>
          <w:rFonts w:ascii="Times New Roman;Times;Serif" w:hAnsi="Times New Roman;Times;Serif"/>
          <w:b w:val="false"/>
          <w:i w:val="false"/>
          <w:caps w:val="false"/>
          <w:smallCaps w:val="false"/>
          <w:sz w:val="20"/>
        </w:rPr>
        <w:t xml:space="preserve"> has served as Serve’s Senior Vice President of Hardware Engineering since January 2022. Prior to joining Serve, Mr. Abraham served as Senior Vice President, Hardware Engineering at Latch, Inc. (NASDAQ: LTCH) from October 2018 to September 2021. Prior to that, he served as Vice President, Hardware Engineering at GoPro, Inc. (NASDAQ: GPRO) from October 2015 to October 2018. Mr. Abraham received his Bachelor of Engineering at the University of Sheffield.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April Pannell</w:t>
      </w:r>
      <w:r>
        <w:rPr>
          <w:rFonts w:ascii="Times New Roman;Times;Serif" w:hAnsi="Times New Roman;Times;Serif"/>
          <w:b w:val="false"/>
          <w:i w:val="false"/>
          <w:caps w:val="false"/>
          <w:smallCaps w:val="false"/>
          <w:sz w:val="20"/>
        </w:rPr>
        <w:t xml:space="preserve"> has served as Serve’s Chief Financial Officer since May 1, 2023. Ms. Pannell has also served as Managing Partner and Director of AKW Financial since January 2019 and previously served as Chief Financial Officer and Global Controller of Fluitec, a company that provides green treatment solutions for hydraulic fluids, from August 2011 to December 2018. Ms. Pannell holds a Bachelors degree in Accounting from American International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Buckly Jordan</w:t>
      </w:r>
      <w:r>
        <w:rPr>
          <w:rFonts w:ascii="Times New Roman;Times;Serif" w:hAnsi="Times New Roman;Times;Serif"/>
          <w:b w:val="false"/>
          <w:i w:val="false"/>
          <w:caps w:val="false"/>
          <w:smallCaps w:val="false"/>
          <w:sz w:val="20"/>
        </w:rPr>
        <w:t xml:space="preserve"> has served as a member of Serve’s Board since October 2021. Mr. Jordan founded Vebu Labs, a food robotics and automation solutions company, in October 2018 and has served as its Chief Executive Officer since then. He is also the co-founder of Miso Robotics, a food robotics company, which he co-founded in 2016 and for which he currently serves as the acting President and Chairman of the Board of Directors. Mr. Jordan also founded Canyon Creek Capital, a venture capital fund, in July 2018 and has served as its Managing Partner since then. He received his Bachelor of Arts in Political Science from Indiana University and his Master of Business Administration from the University of California, Los Angeles Anderson School of Management. We believe Mr. Jordan is qualified to serve on our Board due to his early-stage investment experience in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Sarfraz Maredia</w:t>
      </w:r>
      <w:r>
        <w:rPr>
          <w:rFonts w:ascii="Times New Roman;Times;Serif" w:hAnsi="Times New Roman;Times;Serif"/>
          <w:b w:val="false"/>
          <w:i w:val="false"/>
          <w:caps w:val="false"/>
          <w:smallCaps w:val="false"/>
          <w:sz w:val="20"/>
        </w:rPr>
        <w:t xml:space="preserve"> has served as a member of our Board since the Closing of the Merger. Since September 2014, Mr. Maredia has been employed at Uber, most recently as Vice President for Delivery and Head of Americas at Uber, where he leads the largest segment of Uber Eats’ marketplace business across the United States, Canada, and Latin America as well as overseeing Postmates. In September 2011, Mr. Maredia joined IQVIA (formerly IMS Health), a global information and technology services company focused on healthcare, where he was promoted to and served as Vice President of Corporate Development until September 2014. He previously advised technology clients as a management consultant at Bain &amp; Company and worked as a private equity and public markets investor at TPG and Dodge &amp; Cox, respectively. Mr. Maredia received his Bachelor’s Degree in Finance from the University of Texas at Austin. We believe that Mr. Maredia’s unique position leading one of the world’s largest on-demand delivery platforms, and his experience in leadership, operations, finance, and technology qualify him to serve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Ali Pourdad</w:t>
      </w:r>
      <w:r>
        <w:rPr>
          <w:rFonts w:ascii="Times New Roman;Times;Serif" w:hAnsi="Times New Roman;Times;Serif"/>
          <w:b w:val="false"/>
          <w:i w:val="false"/>
          <w:caps w:val="false"/>
          <w:smallCaps w:val="false"/>
          <w:sz w:val="20"/>
        </w:rPr>
        <w:t xml:space="preserve"> has served as a member of our Board since the Closing of the Merger. Since March 2021, Mr. Pourdad has served as Chief Executive Officer of Quantfury Trading Limited, a global financial technology broker-dealer headquartered in the Bahamas (“Quantfury”). Prior to being named Chief Executive Officer, Mr. Pourdad was an advisor to Quantfury from September 2019 to March 2021. From January 2013 to September 2019, Mr. Pourdad served as Chief Executive Officer of Progressa, a consumer financial technology company. Mr. Pourdad is a Canadian Chartered Professional Accountant and holds a Bachelors degree in Finance from Simon Fraser University. We believe that Mr. Pourdad is qualified to serve on our Board due to his prior board experience and significant public company audit experience, including for NYSE and TSX listed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Olivier Vincent</w:t>
      </w:r>
      <w:r>
        <w:rPr>
          <w:rFonts w:ascii="Times New Roman;Times;Serif" w:hAnsi="Times New Roman;Times;Serif"/>
          <w:b w:val="false"/>
          <w:i w:val="false"/>
          <w:caps w:val="false"/>
          <w:smallCaps w:val="false"/>
          <w:sz w:val="20"/>
        </w:rPr>
        <w:t xml:space="preserve"> has served as a member of our Board since the Closing of the Merger. Mr. Vincent co-founded and has served as Chief Executive Officer of Autozen Technology Ltd., a marketplace start-up in the automobile world since March 2020. Prior to joining Autozen, Mr. Vincent served as Chief Executive Officer of Spliqs, an AI technology company from January 2019 until March 2020. From December 2016 until January 2019, Mr. Vincent served as President of WeatherBug, a weather application. Mr. Vincent has served on the board of directors of Wishpond Technologies Ltd., a Canadian public company traded on the TSX (OTCMKTS: WPNDF), since December 2020. Mr. Vincent holds a Masters of Engineering in Computer Science from Ecole Nationale Superieure de Techniques Avancées (ENSTA) Paris and a Masters of Business, Entrepreneurship from Hautes Etudes Commerciales (HEC) Paris. We believe that Mr. Vincent is qualified to serve on our Board due to his experience growing and managing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our board of directors provided, however, that the board of directors may empower the Chief Executive Officer of the Company to appoint any officer other than the Chief Executive Officer, the President, the Chief Financial Officer or the Treasurer.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currently consists of six members: James Buckly Jordan, Ali Kashani, Sarfraz Maredia, Touraj Parang, Ali Pourdad and Olivier Vincent.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will continue to serve until the election and qualification of his or her successor, or his or her earlier death, resignation, disqualification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six members, divided into three classes of directors, designated Class I, Class II and Class III, with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current directors are divided among the three classes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Class I directors are Sarfraz Maredia and Ali Pourdad, and their terms will expire at the first annual meeting of stockholders;</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Class II directors are James Buckly Jordan and Olivier Vincent, and their terms will expire at the second annual meeting of stockholders; and</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Class III directors are Ali Kashani and Touraj Parang, and their terms will expire at the third annual meeting of stockholders.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director’s term continues until the election and qualification of his or her successor, or his or her earlier death, resignation, disqualification or removal. Our amended and restated certificate of incorporation and amended and amended and restated bylaws authorize, subject to the special rights of the holders of any series of preferred stock to elect directors, only our board of directors to fill vacancies on the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are not listed on a national securities exchange or quoted on any inter-dealer quotation system that has a requirement that a majority of directors be independent. We evaluate independence by the standards for director independence set forth in the Nasdaq Marketplace Rules. Under such rules, our board of directors has determined that all members of the board of directors except Ali Kashani and Touraj Parang are independent directors.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Nasdaq, independent directors must comprise a majority of a listed company’s board of directors within a specified period of listing. In addition, rules require that, subject to specified exceptions, each member of a listed company’s audit, compensation, and nominating, governance, and corporate responsibility committees be independent. Under such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Messrs. Jordan, Maredia, Pourdad and Vincent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w:t>
      </w:r>
      <w:r>
        <w:rPr>
          <w:rFonts w:ascii="Times New Roman;Times;Serif" w:hAnsi="Times New Roman;Times;Serif"/>
          <w:b w:val="false"/>
          <w:i/>
          <w:caps w:val="false"/>
          <w:smallCaps w:val="false"/>
          <w:sz w:val="20"/>
        </w:rPr>
        <w:t>Certain Relationships and Related Party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by between or among the members of the Board or other executive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an audit committee, a compensation committee, and a nominating and governance committee, each of which, pursuant to its respective charter, have the composition and responsibilities described below. Members serve on these committees until their resignation or until otherwise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composed of Messrs. Jordan, Pourdad and Vincent. Mr. Pourdad is the chair of our audit committee. Each member of our audit committee is financially literate. Our board of directors has determined that each member of our audit committee is independent within the meaning of the Nasdaq director independence standards and applicable rules of the SEC for audit committee members. Our board of directors has also determined that Mr. Pourdad qualifies as an “audit committee financial expert” under the rules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audit committee is to discharge the responsibilities of the board of directors with respect to our corporate accounting and financial reporting processes, systems of internal control and financial statement audits and to oversee our independent registered public accounting firm. The principal functions of our audit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helping the board of directors oversee our corporate accounting and financial reporting processes;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managing the selection, engagement, qualifications, independence, and performance of a qualified firm to serve as the independent registered public accounting firm to audit our financial statements;</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discussing the scope and results of the audit with the independent registered public accounting firm, and reviewing, with management and the independent accountants, our interim and year-end operating results;</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establishing procedures for employees to submit concerns anonymously about questionable accounting or audit matters;</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overseeing our policies on risk assessment and risk management;</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overseeing compliance with our code of business conduct and ethics;</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2"/>
        <w:gridCol w:w="9701"/>
      </w:tblGrid>
      <w:tr>
        <w:trPr/>
        <w:tc>
          <w:tcPr>
            <w:tcW w:w="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1" w:type="dxa"/>
            <w:tcBorders/>
            <w:vAlign w:val="center"/>
          </w:tcPr>
          <w:p>
            <w:pPr>
              <w:pStyle w:val="TableContents"/>
              <w:bidi w:val="0"/>
              <w:spacing w:before="0" w:after="283"/>
              <w:jc w:val="both"/>
              <w:rPr/>
            </w:pPr>
            <w:r>
              <w:rPr/>
              <w:t>reviewing related person transactions; and</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approving or, as required, pre-approving audit and permissible non-audit services to be performed by the independent registered public accounting firm.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composed of Messrs. Jordan and Vincent. Mr. Vincent is the chair of our compensation committee. The primary purpose of our compensation committee is to discharge the responsibilities of the board of directors in overseeing our compensation policies, plans and programs and to review and determine the compensation to be paid to our executive officers, directors and other senior management, as appropriate. The principal functions of our compensation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reviewing, approving and determining, or making recommendations to the board of directors regarding, the compensation of our chief executive officer, other executive officers and senior management;</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evaluating and recommending to the board of directors succession plans for our executive officers;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recommending to the board of directors the compensation paid to our non-employee directors;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administering our equity incentive plans and other benefit programs;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establishing general policies relating to compensation and benefits of our employees, including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our compensation committee is a non-employee director as defined in Rule 16b-3 of the Exchange Act. Our board of directors has also determined that each member of our compensation committee is also an independent director within the meanings of Nasdaq’s director independence standards and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is composed of Ali Pourdad who also serves as the chair of our nominating and governance committee. Our nominating and governance committee’s principal functions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identifying and evaluating candidates, including the nomination of incumbent directors for reelection and nominees recommended by stockholders, to serve on the board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considering and making recommendations to the board of directors regarding the composition and chairmanship of the committees of the board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instituting plans or programs for the continuing education of the board of directors and the orientation of new directors;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and making recommendations to the board of directors regarding corporate governance guidelines and matters;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71"/>
        <w:gridCol w:w="9752"/>
      </w:tblGrid>
      <w:tr>
        <w:trPr/>
        <w:tc>
          <w:tcPr>
            <w:tcW w:w="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both"/>
              <w:rPr/>
            </w:pPr>
            <w:r>
              <w:rPr/>
              <w:t>overseeing our corporate governance practices;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overseeing periodic evaluations of the board of directors’ performance, including committees of the board of directors; and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70"/>
        <w:gridCol w:w="9631"/>
      </w:tblGrid>
      <w:tr>
        <w:trPr/>
        <w:tc>
          <w:tcPr>
            <w:tcW w:w="10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w:t>
            </w:r>
          </w:p>
        </w:tc>
        <w:tc>
          <w:tcPr>
            <w:tcW w:w="9631" w:type="dxa"/>
            <w:tcBorders/>
            <w:vAlign w:val="center"/>
          </w:tcPr>
          <w:p>
            <w:pPr>
              <w:pStyle w:val="TableContents"/>
              <w:bidi w:val="0"/>
              <w:spacing w:before="0" w:after="283"/>
              <w:jc w:val="both"/>
              <w:rPr/>
            </w:pPr>
            <w:r>
              <w:rPr/>
              <w:t>contributing to succession planning.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does not currently satisfy the listing standards of Nasdaq, and therefore we are ineligible to be listed on the exchange until we satisfy these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is currently, or has been at any time, one of our officers or employees. In addition, none of our executive officers has served as a member of the board of directors, or as a member of the compensation or similar committee, of any entity that has one or more executive officers who served on our board during fiscal 2022. Our board of directors did not have a compensation committee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r_012"/>
      <w:bookmarkEnd w:id="13"/>
      <w:r>
        <w:rPr>
          <w:rFonts w:ascii="Times New Roman;Times;Serif" w:hAnsi="Times New Roman;Times;Serif"/>
          <w:b/>
          <w:i w:val="false"/>
          <w:caps/>
          <w:sz w:val="20"/>
        </w:rPr>
        <w:t>EXECUTIVE COMPENSATION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the Company’s directors and executive officers after the closing of the Merger is described in the section titled “</w:t>
      </w:r>
      <w:r>
        <w:rPr>
          <w:rFonts w:ascii="Times New Roman;Times;Serif" w:hAnsi="Times New Roman;Times;Serif"/>
          <w:b w:val="false"/>
          <w:i/>
          <w:caps w:val="false"/>
          <w:smallCaps w:val="false"/>
          <w:sz w:val="20"/>
        </w:rPr>
        <w:t>Management</w:t>
      </w:r>
      <w:r>
        <w:rPr>
          <w:rFonts w:ascii="Times New Roman;Times;Serif" w:hAnsi="Times New Roman;Times;Serif"/>
          <w:b w:val="false"/>
          <w:i w:val="false"/>
          <w:caps w:val="false"/>
          <w:smallCaps w:val="false"/>
          <w:sz w:val="20"/>
        </w:rPr>
        <w:t>” beginning on page 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incorporation, no compensation has been earned or paid to Ian Jacobs or Mark Tompkins, who were our sole directors prior to the Merger. Serve became our wholly-owned subsidiary upon the closing of the Merger on July 31, 2023. In connection with the closing of the Merger, Messrs. Jacobs and Tompkins resigned from our board directors, and the current members were appointed to our board of directors, effective as of July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does not have a policy or program for the compensation of its non-employee directors. The Board intends to adopt an outside director compensation policy, which will set forth the terms upon which non-employee directors will be compensated for their service on the Board consistent with market-standard practices.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unless otherwise noted, “we,” “us,” “our,” “Company” and similar terms refer to Serve prior to the closing of the Merger, and to the Company and its subsidiaries after the closing of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executive compensation program for the Company’s named executive officers who appear in the “2022 Summary Compensation Table” below. In 2022, the “named executive officers” and their positions with the Company were as follows: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Ali Kashani: Chief Executive Officer</w:t>
            </w:r>
          </w:p>
        </w:tc>
      </w:tr>
    </w:tbl>
    <w:p>
      <w:pPr>
        <w:pStyle w:val="TextBody"/>
        <w:bidi w:val="0"/>
        <w:spacing w:before="0" w:after="0"/>
        <w:ind w:left="0" w:right="0" w:firstLine="5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pPr>
            <w:r>
              <w:rPr/>
              <w:t>Touraj Parang: President &amp; Chief Operating Officer</w:t>
            </w:r>
          </w:p>
        </w:tc>
      </w:tr>
    </w:tbl>
    <w:p>
      <w:pPr>
        <w:pStyle w:val="TextBody"/>
        <w:bidi w:val="0"/>
        <w:spacing w:before="0" w:after="0"/>
        <w:ind w:left="0" w:right="0" w:firstLine="5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pPr>
            <w:r>
              <w:rPr/>
              <w:t>Euan Abraham: Senior Vice President of Hardware Engineering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Summary Compensation Table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Company’s most recent fiscal year.</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2077"/>
        <w:gridCol w:w="60"/>
        <w:gridCol w:w="530"/>
        <w:gridCol w:w="60"/>
        <w:gridCol w:w="140"/>
        <w:gridCol w:w="800"/>
        <w:gridCol w:w="60"/>
        <w:gridCol w:w="60"/>
        <w:gridCol w:w="552"/>
        <w:gridCol w:w="60"/>
        <w:gridCol w:w="60"/>
        <w:gridCol w:w="665"/>
        <w:gridCol w:w="60"/>
        <w:gridCol w:w="60"/>
        <w:gridCol w:w="665"/>
        <w:gridCol w:w="60"/>
        <w:gridCol w:w="60"/>
        <w:gridCol w:w="1490"/>
        <w:gridCol w:w="60"/>
        <w:gridCol w:w="60"/>
        <w:gridCol w:w="1490"/>
        <w:gridCol w:w="60"/>
        <w:gridCol w:w="140"/>
        <w:gridCol w:w="800"/>
        <w:gridCol w:w="76"/>
      </w:tblGrid>
      <w:tr>
        <w:trPr/>
        <w:tc>
          <w:tcPr>
            <w:tcW w:w="2077" w:type="dxa"/>
            <w:tcBorders>
              <w:bottom w:val="single" w:sz="12" w:space="0" w:color="000000"/>
            </w:tcBorders>
            <w:vAlign w:val="center"/>
          </w:tcPr>
          <w:p>
            <w:pPr>
              <w:pStyle w:val="TableContents"/>
              <w:bidi w:val="0"/>
              <w:spacing w:before="0" w:after="283"/>
              <w:ind w:left="0" w:right="0" w:hanging="180"/>
              <w:jc w:val="left"/>
              <w:rPr>
                <w:b/>
                <w:i w:val="false"/>
                <w:caps w:val="false"/>
                <w:smallCaps w:val="false"/>
              </w:rPr>
            </w:pPr>
            <w:r>
              <w:rPr>
                <w:b/>
                <w:i w:val="false"/>
                <w:caps w:val="false"/>
                <w:smallCaps w:val="false"/>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Stock</w:t>
              <w:br/>
              <w:t>Awards</w:t>
              <w:br/>
              <w: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Option</w:t>
              <w:br/>
              <w:t>Awards</w:t>
              <w:br/>
              <w: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w:t>
            </w:r>
          </w:p>
        </w:tc>
        <w:tc>
          <w:tcPr>
            <w:tcW w:w="76" w:type="dxa"/>
            <w:tcBorders/>
            <w:tcMar>
              <w:bottom w:w="0" w:type="dxa"/>
            </w:tcMar>
            <w:vAlign w:val="center"/>
          </w:tcPr>
          <w:p>
            <w:pPr>
              <w:pStyle w:val="TableContents"/>
              <w:bidi w:val="0"/>
              <w:spacing w:before="0" w:after="283"/>
              <w:ind w:left="0" w:right="0" w:hanging="180"/>
              <w:jc w:val="left"/>
              <w:rPr/>
            </w:pPr>
            <w:r>
              <w:rPr/>
              <w:t> </w:t>
            </w:r>
          </w:p>
        </w:tc>
      </w:tr>
      <w:tr>
        <w:trPr/>
        <w:tc>
          <w:tcPr>
            <w:tcW w:w="2077"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i w:val="false"/>
                <w:caps w:val="false"/>
                <w:smallCaps w:val="false"/>
              </w:rPr>
              <w:t>Ali Kashani</w:t>
            </w:r>
            <w:r>
              <w:rPr>
                <w:b w:val="false"/>
                <w:i w:val="false"/>
                <w:caps w:val="false"/>
                <w:smallCaps w:val="false"/>
              </w:rPr>
              <w:t> </w:t>
              <w:br/>
            </w:r>
            <w:r>
              <w:rPr>
                <w:rFonts w:ascii="Times New Roman;Times;Serif" w:hAnsi="Times New Roman;Times;Serif"/>
                <w:b w:val="false"/>
                <w:i w:val="false"/>
                <w:caps w:val="false"/>
                <w:smallCaps w:val="false"/>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192,991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192,991</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77" w:type="dxa"/>
            <w:tcBorders/>
            <w:shd w:fill="FFFFFF" w:val="clear"/>
            <w:tcMar>
              <w:bottom w:w="0" w:type="dxa"/>
            </w:tcMar>
            <w:vAlign w:val="center"/>
          </w:tcPr>
          <w:p>
            <w:pPr>
              <w:pStyle w:val="TableContents"/>
              <w:bidi w:val="0"/>
              <w:spacing w:before="0" w:after="283"/>
              <w:jc w:val="left"/>
              <w:rPr>
                <w:b w:val="false"/>
                <w:i w:val="false"/>
                <w:caps w:val="false"/>
                <w:smallCaps w:val="false"/>
              </w:rPr>
            </w:pPr>
            <w:r>
              <w:rPr>
                <w:b/>
                <w:i w:val="false"/>
                <w:caps w:val="false"/>
                <w:smallCaps w:val="false"/>
              </w:rPr>
              <w:t>Touraj Parang</w:t>
            </w:r>
            <w:r>
              <w:rPr>
                <w:b w:val="false"/>
                <w:i w:val="false"/>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7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&amp;</w:t>
              <w:br/>
              <w:t>Chief Operating Office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260,583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260,583</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77" w:type="dxa"/>
            <w:tcBorders/>
            <w:shd w:fill="CCEEFF" w:val="clear"/>
            <w:tcMar>
              <w:bottom w:w="0" w:type="dxa"/>
            </w:tcMar>
            <w:vAlign w:val="center"/>
          </w:tcPr>
          <w:p>
            <w:pPr>
              <w:pStyle w:val="TableContents"/>
              <w:bidi w:val="0"/>
              <w:spacing w:before="0" w:after="283"/>
              <w:jc w:val="left"/>
              <w:rPr>
                <w:b/>
                <w:i w:val="false"/>
                <w:caps w:val="false"/>
                <w:smallCaps w:val="false"/>
              </w:rPr>
            </w:pPr>
            <w:r>
              <w:rPr>
                <w:b/>
                <w:i w:val="false"/>
                <w:caps w:val="false"/>
                <w:smallCaps w:val="false"/>
              </w:rPr>
              <w:t>Euan Abraham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77"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Senior Vice President of Hardware Engineering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295,000</w:t>
            </w:r>
          </w:p>
        </w:tc>
        <w:tc>
          <w:tcPr>
            <w:tcW w:w="76"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283"/>
              <w:jc w:val="both"/>
              <w:rPr/>
            </w:pPr>
            <w:r>
              <w:rPr/>
              <w:t> </w:t>
            </w:r>
            <w:r>
              <w:rPr/>
              <w:t>Stock awards and option awards are reported at aggregate grant date fair value in the year granted, as determined in accordance with the provisions of FASB ASC Topic 718. For the assumptions used in valuing these awards for purposes of computing this expense for 2022, please see Note 9 of the Company’s financial statements for the year ended December 31, 2022.</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Salaries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2022, Dr. Kashani, Mr. Parang, and Mr. Abraham received an annual base salary of $192,991, $260,583, and $295,000, respectively, to compensate them for services rendered to Serve. The base salary payable to each of Dr. Kashani, Mr. Parang, and Mr. Abraham was intended to provide a fixed component of compensation reflecting the executive’s skill set, experience, role and responsibilities.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Dr. Kashani purchased 1,499,867 shares of Serve common stock for an aggregate purchase price of $1,866.67 (the “Kashani Time-Based Award”). On May 6, 2021, Mr. Parang purchased 535,163 shares of Serve common stock for an aggregate purchase price of $828.92 (the “Parang Time-Based Award”). On December 23, 2021, Mr. Abraham was granted an option to purchase 200,875 shares of Serve common stock (the “Abraham Time-Based Award” and together with the Kashani Time-Based Award and the Parang Time-Based Award, the “Time-Based Awards”). The Kashani Time-Based Award, the Parang Time-Based Award, and the Abraham Time-Based Award are each scheduled to vest as to 25% of the shares on February 18, 2022, March 22, 2022, and November 1, 2022, respectively, and as to 1/48</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of the shares monthly over the 36 month-period thereafter, subject to the executive’s continued employment through each vesting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Dr. Kashani purchased 749,933 shares of Serve common stock for an aggregate purchase price of $933.34 (the “Kashani Milestone-Based Award”). On May 6, 2021, Mr. Parang purchased 267,582 shares of Serve common stock for an aggregate purchase price of $414.46 (the “Parang Milestone-Based Award”). On December 23, 2021, Mr. Abraham was granted an option to purchase 100,438 shares of Serve common stock (the “Abraham Milestone-Based Award” and together with the Kashani Milestone-Based Award and the Parang Milestone-Based Award, the “Milestone-Based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Milestone-Based Awards are each scheduled to vest as to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shares monthly over the 48 month-period following the achievement of a milestone prior to September 30, 2022. Between October and November 2022, the Board retroactively amended the vesting schedule to permit the 48-month vesting period to run from June 15, 2022, regardless of milestone achievement.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Serve 2021 Stock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Serve’s board of directors originally adopted, and Serve’s stockholders approved, the Serve Robotics Inc. 2021 Stock Plan (the “2021 Stock Plan”) in 2021. The 2021 Stock Plan provided for the grant of incentive stock options to Serve employees (and employees of any parent or subsidiary of Serve) and for the grant of non-statutory stock options, restricted stock and restricted stock purchase rights to Serve employees, directors and consultants (and employees and consultants of any parent, subsidiary or affiliate of Serve).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The Serve board of directors has administered the 2021 Stock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w:t>
      </w:r>
      <w:r>
        <w:rPr>
          <w:rFonts w:ascii="Times New Roman;Times;Serif" w:hAnsi="Times New Roman;Times;Serif"/>
          <w:b w:val="false"/>
          <w:i w:val="false"/>
          <w:caps w:val="false"/>
          <w:smallCaps w:val="false"/>
          <w:sz w:val="20"/>
        </w:rPr>
        <w:t> The 2021 Stock Plan provides for the grant of incentive stock options, non-statutory stock options, restricted stock and restricted stock purchase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 </w:t>
      </w:r>
      <w:r>
        <w:rPr>
          <w:rFonts w:ascii="Times New Roman;Times;Serif" w:hAnsi="Times New Roman;Times;Serif"/>
          <w:b w:val="false"/>
          <w:i w:val="false"/>
          <w:caps w:val="false"/>
          <w:smallCaps w:val="false"/>
          <w:sz w:val="20"/>
        </w:rPr>
        <w:t>The Serve board of directors granted stock options under the 2021 Stock Plan. The exercise price per share applicable to such options was equal to at least the fair market value per share of Serve common stock on the date of grant. The term of options granted under the 2021 Stock Plan did not exceed 10 years; provided, however, that any incentive stock option granted to a participant who owned more than 10% of the total combined voting power of all classes of Serve stock, or of certain of Serve’s subsidiary corporations, did not have a term in excess of five years and had an exercise price per share of at least 110% of the fair market value per share of Serve common stock on the grant date. Subject to the provisions of the 2021 Stock Plan, the Serve board of directors determined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all other cases except for a termination for cause, the option will generally remain exercisable for three months following the termination of service. In the event of a termination for cause, the option will immediately terminate. However, in no event may an option be exercised later than the expiration of its term.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w:t>
      </w:r>
      <w:r>
        <w:rPr>
          <w:rFonts w:ascii="Times New Roman;Times;Serif" w:hAnsi="Times New Roman;Times;Serif"/>
          <w:b w:val="false"/>
          <w:i w:val="false"/>
          <w:caps w:val="false"/>
          <w:smallCaps w:val="false"/>
          <w:sz w:val="20"/>
        </w:rPr>
        <w:t>The Serve board of directors granted stock options under the 2021 Stock Plan. Subject to the provisions of the 2021 Stock Plan, the Serve board of directors determined the terms of the restricted stock, including the number of shares that the participant will be entitled to purchase, the price to be paid, if any, the time within which such participant must accept the offer to purchase the restricted stock, and the other terms applicable to the award. Unless the Serve board of directors determines otherwise, the restricted stock purchase agreement evidencing the award grants Serve a repurchase option exercisable upon the voluntary or involuntary termination of the participant’s service for any reason at a purchase price equal the original purchase price paid by the participant. The Serve board of directors determines the rate at which the repurchase option lapses. Once the restricted stock is purchased by the participant, the participant will have the rights equivalent to those of a holder of Serve capital stock, and shall be a record holder when his or her purchase and the issuance of the shares is entered upon the records of the duly authorized transfer agent of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Non-transferability of Awards.</w:t>
      </w:r>
      <w:r>
        <w:rPr>
          <w:rFonts w:ascii="Times New Roman;Times;Serif" w:hAnsi="Times New Roman;Times;Serif"/>
          <w:b w:val="false"/>
          <w:i w:val="false"/>
          <w:caps w:val="false"/>
          <w:smallCaps w:val="false"/>
          <w:sz w:val="20"/>
        </w:rPr>
        <w:t> Unless the Serve board of directors provided otherwise, the 2021 Stock Plan generally did not allow for the transfer of awards or shares acquired pursuant to an award and only the recipient of an option may exercise such an award during his or her lifetime.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Certain Adjustments.</w:t>
      </w:r>
      <w:r>
        <w:rPr>
          <w:rFonts w:ascii="Times New Roman;Times;Serif" w:hAnsi="Times New Roman;Times;Serif"/>
          <w:b w:val="false"/>
          <w:i w:val="false"/>
          <w:caps w:val="false"/>
          <w:smallCaps w:val="false"/>
          <w:sz w:val="20"/>
        </w:rPr>
        <w:t> In the event of certain corporate events or changes in Serve’s capitalization, to prevent diminution or enlargement of the benefits or potential benefits available under the 2021 Stock Plan, the Serve board of directors will make adjustments to the number of shares reserved for issuance under the 2021 Stock Plan, the exercise prices of and number of shares subject to each outstanding stock option and the purchase prices of and number of shares subject to each other outstanding stock award.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w:t>
      </w:r>
      <w:r>
        <w:rPr>
          <w:rFonts w:ascii="Times New Roman;Times;Serif" w:hAnsi="Times New Roman;Times;Serif"/>
          <w:b w:val="false"/>
          <w:i w:val="false"/>
          <w:caps w:val="false"/>
          <w:smallCaps w:val="false"/>
          <w:sz w:val="20"/>
        </w:rPr>
        <w:t> The 2021 Stock Plan provides that in the event of certain significant corporate transactions, including: (i) a transfer of all or substantially all of Serve’s assets, (ii) a merger, consolidation or other capital reorganization or business combination transaction of Serve with or into another corporation, entity or person, or (iii) the consummation of a transaction, or series of related transactions, in which any person becomes the beneficial owner, directly or indirectly, of more than 50% of Serve’s then outstanding capital stock, each outstanding award will be treated as the Serve board of directors determines.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Termination.</w:t>
      </w:r>
      <w:r>
        <w:rPr>
          <w:rFonts w:ascii="Times New Roman;Times;Serif" w:hAnsi="Times New Roman;Times;Serif"/>
          <w:b w:val="false"/>
          <w:i w:val="false"/>
          <w:caps w:val="false"/>
          <w:smallCaps w:val="false"/>
          <w:sz w:val="20"/>
        </w:rPr>
        <w:t> Serve’s board of directors may amend or terminate the 2021 Stock Plan at any time, provided such action does not materially and adversely affect the rights of any participant without his or her consent. In addition, stockholder approval must be obtained to the extent necessary and desirable to comply with applicable laws.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provided benefits to its named executive officers on the same basis as provided to all of its employees, including medical, dental, vision, life and AD&amp;D, and short- and long-term disability insurance, flexible spending accounts, vacation and paid holidays. The named executive officers are also eligible to participate in the Company’s 401(k)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Equity Awards at Fiscal Year-End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each unexercised stock option or unvested stock award held by each named executive officer as of December 31, 2022.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5"/>
        <w:gridCol w:w="60"/>
        <w:gridCol w:w="964"/>
        <w:gridCol w:w="60"/>
        <w:gridCol w:w="98"/>
        <w:gridCol w:w="1122"/>
        <w:gridCol w:w="60"/>
        <w:gridCol w:w="60"/>
        <w:gridCol w:w="97"/>
        <w:gridCol w:w="1303"/>
        <w:gridCol w:w="60"/>
        <w:gridCol w:w="60"/>
        <w:gridCol w:w="196"/>
        <w:gridCol w:w="619"/>
        <w:gridCol w:w="60"/>
        <w:gridCol w:w="60"/>
        <w:gridCol w:w="60"/>
        <w:gridCol w:w="1046"/>
        <w:gridCol w:w="60"/>
        <w:gridCol w:w="60"/>
        <w:gridCol w:w="72"/>
        <w:gridCol w:w="968"/>
        <w:gridCol w:w="214"/>
        <w:gridCol w:w="60"/>
        <w:gridCol w:w="206"/>
        <w:gridCol w:w="1179"/>
        <w:gridCol w:w="76"/>
      </w:tblGrid>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85" w:type="dxa"/>
            <w:gridSpan w:val="17"/>
            <w:tcBorders>
              <w:bottom w:val="single" w:sz="12" w:space="0" w:color="000000"/>
            </w:tcBorders>
            <w:tcMar>
              <w:bottom w:w="28" w:type="dxa"/>
            </w:tcMar>
            <w:vAlign w:val="center"/>
          </w:tcPr>
          <w:p>
            <w:pPr>
              <w:pStyle w:val="TableContents"/>
              <w:bidi w:val="0"/>
              <w:spacing w:before="0" w:after="283"/>
              <w:jc w:val="center"/>
              <w:rPr>
                <w:b/>
              </w:rPr>
            </w:pPr>
            <w:r>
              <w:rPr>
                <w:b/>
              </w:rPr>
              <w:t>Option awards</w:t>
            </w:r>
            <w:r>
              <w:rPr>
                <w:b/>
                <w:position w:val="7"/>
                <w:sz w:val="16"/>
                <w:sz w:val="20"/>
              </w:rPr>
              <w:t>(1)</w:t>
            </w:r>
          </w:p>
        </w:tc>
        <w:tc>
          <w:tcPr>
            <w:tcW w:w="60" w:type="dxa"/>
            <w:tcBorders/>
            <w:vAlign w:val="center"/>
          </w:tcPr>
          <w:p>
            <w:pPr>
              <w:pStyle w:val="TableContents"/>
              <w:bidi w:val="0"/>
              <w:spacing w:before="0" w:after="283"/>
              <w:jc w:val="left"/>
              <w:rPr/>
            </w:pPr>
            <w:r>
              <w:rPr/>
              <w:t> </w:t>
            </w:r>
          </w:p>
        </w:tc>
        <w:tc>
          <w:tcPr>
            <w:tcW w:w="269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Stock awards</w:t>
            </w:r>
            <w:r>
              <w:rPr>
                <w:b/>
                <w:position w:val="7"/>
                <w:sz w:val="16"/>
                <w:sz w:val="20"/>
              </w:rPr>
              <w:t>(2)</w:t>
            </w:r>
          </w:p>
        </w:tc>
        <w:tc>
          <w:tcPr>
            <w:tcW w:w="76" w:type="dxa"/>
            <w:tcBorders/>
            <w:vAlign w:val="center"/>
          </w:tcPr>
          <w:p>
            <w:pPr>
              <w:pStyle w:val="TableContents"/>
              <w:bidi w:val="0"/>
              <w:spacing w:before="0" w:after="283"/>
              <w:jc w:val="left"/>
              <w:rPr/>
            </w:pPr>
            <w:r>
              <w:rPr/>
              <w:t> </w:t>
            </w:r>
          </w:p>
        </w:tc>
      </w:tr>
      <w:tr>
        <w:trPr/>
        <w:tc>
          <w:tcPr>
            <w:tcW w:w="132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964" w:type="dxa"/>
            <w:tcBorders>
              <w:bottom w:val="single" w:sz="12"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exercise</w:t>
              <w:br/>
              <w:t>price</w:t>
              <w:br/>
              <w:t>($)</w:t>
            </w:r>
            <w:r>
              <w:rPr>
                <w:b/>
                <w:position w:val="7"/>
                <w:sz w:val="16"/>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of shares</w:t>
              <w:br/>
              <w:t>that have</w:t>
              <w:br/>
              <w:t>not vested</w:t>
              <w:br/>
              <w:t>(#)</w:t>
            </w:r>
          </w:p>
        </w:tc>
        <w:tc>
          <w:tcPr>
            <w:tcW w:w="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Market value</w:t>
              <w:br/>
              <w:t>of shares</w:t>
              <w:br/>
              <w:t>that have</w:t>
              <w:br/>
              <w:t>not vested</w:t>
              <w:br/>
              <w:t>($)</w:t>
            </w:r>
            <w:r>
              <w:rPr>
                <w:b/>
                <w:position w:val="7"/>
                <w:sz w:val="16"/>
                <w:sz w:val="20"/>
              </w:rPr>
              <w:t>(4)</w:t>
            </w:r>
          </w:p>
        </w:tc>
        <w:tc>
          <w:tcPr>
            <w:tcW w:w="76"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b/>
              </w:rPr>
            </w:pPr>
            <w:r>
              <w:rPr>
                <w:b/>
              </w:rPr>
              <w:t>Ali Kashani</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center"/>
              <w:rPr/>
            </w:pPr>
            <w:r>
              <w:rPr/>
              <w:t>4/27/2021</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812,428</w:t>
            </w:r>
          </w:p>
        </w:tc>
        <w:tc>
          <w:tcPr>
            <w:tcW w:w="214"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404,445</w:t>
            </w:r>
          </w:p>
        </w:tc>
        <w:tc>
          <w:tcPr>
            <w:tcW w:w="76" w:type="dxa"/>
            <w:tcBorders/>
            <w:shd w:fill="CCEE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center"/>
              <w:rPr/>
            </w:pPr>
            <w:r>
              <w:rPr/>
              <w:t>4/27/2021</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656,191</w:t>
            </w:r>
          </w:p>
        </w:tc>
        <w:tc>
          <w:tcPr>
            <w:tcW w:w="214" w:type="dxa"/>
            <w:tcBorders/>
            <w:shd w:fill="CCEEFF" w:val="clear"/>
            <w:vAlign w:val="center"/>
          </w:tcPr>
          <w:p>
            <w:pPr>
              <w:pStyle w:val="TableContents"/>
              <w:bidi w:val="0"/>
              <w:spacing w:before="0" w:after="283"/>
              <w:jc w:val="left"/>
              <w:rPr>
                <w:position w:val="8"/>
                <w:sz w:val="19"/>
              </w:rPr>
            </w:pP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326,667</w:t>
            </w:r>
          </w:p>
        </w:tc>
        <w:tc>
          <w:tcPr>
            <w:tcW w:w="76"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b/>
              </w:rPr>
            </w:pPr>
            <w:r>
              <w:rPr>
                <w:b/>
              </w:rPr>
              <w:t>Touraj Parang</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5/6/2021</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301,029</w:t>
            </w:r>
          </w:p>
        </w:tc>
        <w:tc>
          <w:tcPr>
            <w:tcW w:w="214" w:type="dxa"/>
            <w:tcBorders/>
            <w:shd w:fill="FFFFFF" w:val="clear"/>
            <w:vAlign w:val="center"/>
          </w:tcPr>
          <w:p>
            <w:pPr>
              <w:pStyle w:val="TableContents"/>
              <w:bidi w:val="0"/>
              <w:spacing w:before="0" w:after="283"/>
              <w:jc w:val="left"/>
              <w:rPr>
                <w:position w:val="8"/>
                <w:sz w:val="19"/>
              </w:rPr>
            </w:pPr>
            <w:r>
              <w:rPr>
                <w:position w:val="8"/>
                <w:sz w:val="19"/>
              </w:rPr>
              <w:t>(7)</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79" w:type="dxa"/>
            <w:tcBorders/>
            <w:shd w:fill="FFFFFF" w:val="clear"/>
            <w:vAlign w:val="center"/>
          </w:tcPr>
          <w:p>
            <w:pPr>
              <w:pStyle w:val="TableContents"/>
              <w:bidi w:val="0"/>
              <w:spacing w:before="0" w:after="283"/>
              <w:jc w:val="right"/>
              <w:rPr/>
            </w:pPr>
            <w:r>
              <w:rPr/>
              <w:t>149,859</w:t>
            </w:r>
          </w:p>
        </w:tc>
        <w:tc>
          <w:tcPr>
            <w:tcW w:w="76"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5/6/2021</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234,134</w:t>
            </w:r>
          </w:p>
        </w:tc>
        <w:tc>
          <w:tcPr>
            <w:tcW w:w="214" w:type="dxa"/>
            <w:tcBorders/>
            <w:shd w:fill="FFFFFF" w:val="clear"/>
            <w:vAlign w:val="center"/>
          </w:tcPr>
          <w:p>
            <w:pPr>
              <w:pStyle w:val="TableContents"/>
              <w:bidi w:val="0"/>
              <w:spacing w:before="0" w:after="283"/>
              <w:jc w:val="left"/>
              <w:rPr>
                <w:position w:val="8"/>
                <w:sz w:val="19"/>
              </w:rPr>
            </w:pP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79" w:type="dxa"/>
            <w:tcBorders/>
            <w:shd w:fill="FFFFFF" w:val="clear"/>
            <w:vAlign w:val="center"/>
          </w:tcPr>
          <w:p>
            <w:pPr>
              <w:pStyle w:val="TableContents"/>
              <w:bidi w:val="0"/>
              <w:spacing w:before="0" w:after="283"/>
              <w:jc w:val="right"/>
              <w:rPr/>
            </w:pPr>
            <w:r>
              <w:rPr/>
              <w:t>116,557</w:t>
            </w:r>
          </w:p>
        </w:tc>
        <w:tc>
          <w:tcPr>
            <w:tcW w:w="76"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b/>
              </w:rPr>
            </w:pPr>
            <w:r>
              <w:rPr>
                <w:b/>
              </w:rPr>
              <w:t>Euan Abraham</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center"/>
              <w:rPr/>
            </w:pPr>
            <w:r>
              <w:rPr/>
              <w:t>12/23/2021</w:t>
            </w:r>
            <w:r>
              <w:rPr>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54,403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146,471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12/22/2031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center"/>
              <w:rPr/>
            </w:pPr>
            <w:r>
              <w:rPr/>
              <w:t>12/23/2021</w:t>
            </w:r>
            <w:r>
              <w:rPr>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12,554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87,882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12/22/2031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283"/>
              <w:jc w:val="both"/>
              <w:rPr/>
            </w:pPr>
            <w:r>
              <w:rPr/>
              <w:t>All stock options listed above cover shares of our common stock following the closing of the Merger and were granted under the 2021 Stock Plan.</w:t>
            </w:r>
          </w:p>
        </w:tc>
      </w:tr>
      <w:tr>
        <w:trPr/>
        <w:tc>
          <w:tcPr>
            <w:tcW w:w="251" w:type="dxa"/>
            <w:tcBorders/>
            <w:vAlign w:val="center"/>
          </w:tcPr>
          <w:p>
            <w:pPr>
              <w:pStyle w:val="TableContents"/>
              <w:bidi w:val="0"/>
              <w:spacing w:before="0" w:after="283"/>
              <w:jc w:val="left"/>
              <w:rPr/>
            </w:pPr>
            <w:r>
              <w:rPr/>
              <w:t> </w:t>
            </w:r>
          </w:p>
        </w:tc>
        <w:tc>
          <w:tcPr>
            <w:tcW w:w="9954" w:type="dxa"/>
            <w:tcBorders/>
            <w:vAlign w:val="center"/>
          </w:tcPr>
          <w:p>
            <w:pPr>
              <w:pStyle w:val="TableContents"/>
              <w:bidi w:val="0"/>
              <w:spacing w:before="0" w:after="283"/>
              <w:jc w:val="both"/>
              <w:rPr/>
            </w:pPr>
            <w:r>
              <w:rPr/>
              <w:t> </w:t>
            </w:r>
          </w:p>
        </w:tc>
      </w:tr>
      <w:tr>
        <w:trPr/>
        <w:tc>
          <w:tcPr>
            <w:tcW w:w="251" w:type="dxa"/>
            <w:tcBorders/>
            <w:vAlign w:val="center"/>
          </w:tcPr>
          <w:p>
            <w:pPr>
              <w:pStyle w:val="TableContents"/>
              <w:bidi w:val="0"/>
              <w:spacing w:before="0" w:after="283"/>
              <w:jc w:val="both"/>
              <w:rPr/>
            </w:pPr>
            <w:r>
              <w:rPr/>
              <w:t>(2)</w:t>
            </w:r>
          </w:p>
        </w:tc>
        <w:tc>
          <w:tcPr>
            <w:tcW w:w="9954" w:type="dxa"/>
            <w:tcBorders/>
            <w:vAlign w:val="center"/>
          </w:tcPr>
          <w:p>
            <w:pPr>
              <w:pStyle w:val="TableContents"/>
              <w:bidi w:val="0"/>
              <w:spacing w:before="0" w:after="283"/>
              <w:jc w:val="both"/>
              <w:rPr/>
            </w:pPr>
            <w:r>
              <w:rPr/>
              <w:t>All restricted shares listed above cover shares of our common stock following the closing of the Merger. The restricted shares held by Mr. Parang were issued pursuant to the 2021 Stock Plan, while the restricted shares held by Dr. Kashani were issued outside of the 2021 Stock Plan.</w:t>
            </w:r>
          </w:p>
        </w:tc>
      </w:tr>
      <w:tr>
        <w:trPr/>
        <w:tc>
          <w:tcPr>
            <w:tcW w:w="251" w:type="dxa"/>
            <w:tcBorders/>
            <w:vAlign w:val="center"/>
          </w:tcPr>
          <w:p>
            <w:pPr>
              <w:pStyle w:val="TableContents"/>
              <w:bidi w:val="0"/>
              <w:spacing w:before="0" w:after="283"/>
              <w:jc w:val="both"/>
              <w:rPr/>
            </w:pPr>
            <w:r>
              <w:rPr/>
              <w:t> </w:t>
            </w:r>
          </w:p>
        </w:tc>
        <w:tc>
          <w:tcPr>
            <w:tcW w:w="9954" w:type="dxa"/>
            <w:tcBorders/>
            <w:vAlign w:val="center"/>
          </w:tcPr>
          <w:p>
            <w:pPr>
              <w:pStyle w:val="TableContents"/>
              <w:bidi w:val="0"/>
              <w:spacing w:before="0" w:after="283"/>
              <w:jc w:val="both"/>
              <w:rPr/>
            </w:pPr>
            <w:r>
              <w:rPr/>
              <w:t> </w:t>
            </w:r>
          </w:p>
        </w:tc>
      </w:tr>
      <w:tr>
        <w:trPr/>
        <w:tc>
          <w:tcPr>
            <w:tcW w:w="251" w:type="dxa"/>
            <w:tcBorders/>
            <w:vAlign w:val="center"/>
          </w:tcPr>
          <w:p>
            <w:pPr>
              <w:pStyle w:val="TableContents"/>
              <w:bidi w:val="0"/>
              <w:spacing w:before="0" w:after="283"/>
              <w:jc w:val="both"/>
              <w:rPr/>
            </w:pPr>
            <w:r>
              <w:rPr/>
              <w:t>(3)</w:t>
            </w:r>
          </w:p>
        </w:tc>
        <w:tc>
          <w:tcPr>
            <w:tcW w:w="9954" w:type="dxa"/>
            <w:tcBorders/>
            <w:vAlign w:val="center"/>
          </w:tcPr>
          <w:p>
            <w:pPr>
              <w:pStyle w:val="TableContents"/>
              <w:bidi w:val="0"/>
              <w:spacing w:before="0" w:after="283"/>
              <w:jc w:val="both"/>
              <w:rPr/>
            </w:pPr>
            <w:r>
              <w:rPr/>
              <w:t>This column represents the fair market value of a share of Serve common stock on the date of grant, as determined by the Serve board of directors.</w:t>
            </w:r>
          </w:p>
        </w:tc>
      </w:tr>
      <w:tr>
        <w:trPr/>
        <w:tc>
          <w:tcPr>
            <w:tcW w:w="251" w:type="dxa"/>
            <w:tcBorders/>
            <w:vAlign w:val="center"/>
          </w:tcPr>
          <w:p>
            <w:pPr>
              <w:pStyle w:val="TableContents"/>
              <w:bidi w:val="0"/>
              <w:spacing w:before="0" w:after="283"/>
              <w:jc w:val="both"/>
              <w:rPr/>
            </w:pPr>
            <w:r>
              <w:rPr/>
              <w:t> </w:t>
            </w:r>
          </w:p>
        </w:tc>
        <w:tc>
          <w:tcPr>
            <w:tcW w:w="9954" w:type="dxa"/>
            <w:tcBorders/>
            <w:vAlign w:val="center"/>
          </w:tcPr>
          <w:p>
            <w:pPr>
              <w:pStyle w:val="TableContents"/>
              <w:bidi w:val="0"/>
              <w:spacing w:before="0" w:after="283"/>
              <w:jc w:val="both"/>
              <w:rPr/>
            </w:pPr>
            <w:r>
              <w:rPr/>
              <w:t> </w:t>
            </w:r>
          </w:p>
        </w:tc>
      </w:tr>
      <w:tr>
        <w:trPr/>
        <w:tc>
          <w:tcPr>
            <w:tcW w:w="251" w:type="dxa"/>
            <w:tcBorders/>
            <w:vAlign w:val="center"/>
          </w:tcPr>
          <w:p>
            <w:pPr>
              <w:pStyle w:val="TableContents"/>
              <w:bidi w:val="0"/>
              <w:spacing w:before="0" w:after="283"/>
              <w:jc w:val="both"/>
              <w:rPr/>
            </w:pPr>
            <w:r>
              <w:rPr/>
              <w:t>(4)</w:t>
            </w:r>
          </w:p>
        </w:tc>
        <w:tc>
          <w:tcPr>
            <w:tcW w:w="9954" w:type="dxa"/>
            <w:tcBorders/>
            <w:vAlign w:val="center"/>
          </w:tcPr>
          <w:p>
            <w:pPr>
              <w:pStyle w:val="TableContents"/>
              <w:bidi w:val="0"/>
              <w:spacing w:before="0" w:after="283"/>
              <w:jc w:val="both"/>
              <w:rPr/>
            </w:pPr>
            <w:r>
              <w:rPr/>
              <w:t>This column represents the number of unvested restricted shares outstanding as of December 31, 2022, multiplied by $0.40, which is the per share value of Serve common stock as of December 31, 2022, divided by the exchange ratio of 0.8035 ($0.50 per share after the exchange ratio).</w:t>
            </w:r>
          </w:p>
        </w:tc>
      </w:tr>
      <w:tr>
        <w:trPr/>
        <w:tc>
          <w:tcPr>
            <w:tcW w:w="251" w:type="dxa"/>
            <w:tcBorders/>
            <w:vAlign w:val="center"/>
          </w:tcPr>
          <w:p>
            <w:pPr>
              <w:pStyle w:val="TableContents"/>
              <w:bidi w:val="0"/>
              <w:spacing w:before="0" w:after="283"/>
              <w:jc w:val="both"/>
              <w:rPr/>
            </w:pPr>
            <w:r>
              <w:rPr/>
              <w:t> </w:t>
            </w:r>
          </w:p>
        </w:tc>
        <w:tc>
          <w:tcPr>
            <w:tcW w:w="9954" w:type="dxa"/>
            <w:tcBorders/>
            <w:vAlign w:val="center"/>
          </w:tcPr>
          <w:p>
            <w:pPr>
              <w:pStyle w:val="TableContents"/>
              <w:bidi w:val="0"/>
              <w:spacing w:before="0" w:after="283"/>
              <w:jc w:val="both"/>
              <w:rPr/>
            </w:pPr>
            <w:r>
              <w:rPr/>
              <w:t> </w:t>
            </w:r>
          </w:p>
        </w:tc>
      </w:tr>
      <w:tr>
        <w:trPr/>
        <w:tc>
          <w:tcPr>
            <w:tcW w:w="251" w:type="dxa"/>
            <w:tcBorders/>
            <w:vAlign w:val="center"/>
          </w:tcPr>
          <w:p>
            <w:pPr>
              <w:pStyle w:val="TableContents"/>
              <w:bidi w:val="0"/>
              <w:spacing w:before="0" w:after="283"/>
              <w:jc w:val="both"/>
              <w:rPr/>
            </w:pPr>
            <w:r>
              <w:rPr/>
              <w:t>(5)</w:t>
            </w:r>
          </w:p>
        </w:tc>
        <w:tc>
          <w:tcPr>
            <w:tcW w:w="9954" w:type="dxa"/>
            <w:tcBorders/>
            <w:vAlign w:val="center"/>
          </w:tcPr>
          <w:p>
            <w:pPr>
              <w:pStyle w:val="TableContents"/>
              <w:bidi w:val="0"/>
              <w:spacing w:before="0" w:after="283"/>
              <w:jc w:val="both"/>
              <w:rPr/>
            </w:pPr>
            <w:r>
              <w:rPr/>
              <w:t>The restricted shares are subject to a 4-year vesting schedule, with 25% of the shares vesting on February 18, 2022 and 1/48</w:t>
            </w:r>
            <w:r>
              <w:rPr>
                <w:position w:val="7"/>
                <w:sz w:val="16"/>
                <w:sz w:val="20"/>
              </w:rPr>
              <w:t>th</w:t>
            </w:r>
            <w:r>
              <w:rPr/>
              <w:t xml:space="preserve"> of the shares vesting monthly over the 36 month-period thereafter, subject to the executive’s continued employment through each vesting date.</w:t>
            </w:r>
          </w:p>
        </w:tc>
      </w:tr>
      <w:tr>
        <w:trPr/>
        <w:tc>
          <w:tcPr>
            <w:tcW w:w="251" w:type="dxa"/>
            <w:tcBorders/>
            <w:vAlign w:val="center"/>
          </w:tcPr>
          <w:p>
            <w:pPr>
              <w:pStyle w:val="TableContents"/>
              <w:bidi w:val="0"/>
              <w:spacing w:before="0" w:after="283"/>
              <w:jc w:val="both"/>
              <w:rPr/>
            </w:pPr>
            <w:r>
              <w:rPr/>
              <w:t> </w:t>
            </w:r>
          </w:p>
        </w:tc>
        <w:tc>
          <w:tcPr>
            <w:tcW w:w="9954" w:type="dxa"/>
            <w:tcBorders/>
            <w:vAlign w:val="center"/>
          </w:tcPr>
          <w:p>
            <w:pPr>
              <w:pStyle w:val="TableContents"/>
              <w:bidi w:val="0"/>
              <w:spacing w:before="0" w:after="283"/>
              <w:jc w:val="both"/>
              <w:rPr/>
            </w:pPr>
            <w:r>
              <w:rPr/>
              <w:t> </w:t>
            </w:r>
          </w:p>
        </w:tc>
      </w:tr>
      <w:tr>
        <w:trPr/>
        <w:tc>
          <w:tcPr>
            <w:tcW w:w="251" w:type="dxa"/>
            <w:tcBorders/>
            <w:vAlign w:val="center"/>
          </w:tcPr>
          <w:p>
            <w:pPr>
              <w:pStyle w:val="TableContents"/>
              <w:bidi w:val="0"/>
              <w:spacing w:before="0" w:after="283"/>
              <w:jc w:val="both"/>
              <w:rPr/>
            </w:pPr>
            <w:r>
              <w:rPr/>
              <w:t>(6)</w:t>
            </w:r>
          </w:p>
        </w:tc>
        <w:tc>
          <w:tcPr>
            <w:tcW w:w="9954" w:type="dxa"/>
            <w:tcBorders/>
            <w:vAlign w:val="center"/>
          </w:tcPr>
          <w:p>
            <w:pPr>
              <w:pStyle w:val="TableContents"/>
              <w:bidi w:val="0"/>
              <w:spacing w:before="0" w:after="283"/>
              <w:jc w:val="both"/>
              <w:rPr/>
            </w:pPr>
            <w:r>
              <w:rPr/>
              <w:t>The restricted shares are subject to a 4-year vesting schedule running from the date the Board retroactively determined that vesting should run regardless of Milestone achievement, with 1/48</w:t>
            </w:r>
            <w:r>
              <w:rPr>
                <w:position w:val="7"/>
                <w:sz w:val="16"/>
                <w:sz w:val="20"/>
              </w:rPr>
              <w:t xml:space="preserve">th </w:t>
            </w:r>
            <w:r>
              <w:rPr/>
              <w:t>of the shares vesting on July 15, 2022 and monthly thereafter, subject to the executive’s continued employment through each vesting date.</w:t>
            </w:r>
          </w:p>
        </w:tc>
      </w:tr>
      <w:tr>
        <w:trPr/>
        <w:tc>
          <w:tcPr>
            <w:tcW w:w="251" w:type="dxa"/>
            <w:tcBorders/>
            <w:vAlign w:val="center"/>
          </w:tcPr>
          <w:p>
            <w:pPr>
              <w:pStyle w:val="TableContents"/>
              <w:bidi w:val="0"/>
              <w:spacing w:before="0" w:after="283"/>
              <w:jc w:val="both"/>
              <w:rPr/>
            </w:pPr>
            <w:r>
              <w:rPr/>
              <w:t> </w:t>
            </w:r>
          </w:p>
        </w:tc>
        <w:tc>
          <w:tcPr>
            <w:tcW w:w="9954" w:type="dxa"/>
            <w:tcBorders/>
            <w:vAlign w:val="center"/>
          </w:tcPr>
          <w:p>
            <w:pPr>
              <w:pStyle w:val="TableContents"/>
              <w:bidi w:val="0"/>
              <w:spacing w:before="0" w:after="283"/>
              <w:jc w:val="both"/>
              <w:rPr/>
            </w:pPr>
            <w:r>
              <w:rPr/>
              <w:t> </w:t>
            </w:r>
          </w:p>
        </w:tc>
      </w:tr>
      <w:tr>
        <w:trPr/>
        <w:tc>
          <w:tcPr>
            <w:tcW w:w="251" w:type="dxa"/>
            <w:tcBorders/>
            <w:vAlign w:val="center"/>
          </w:tcPr>
          <w:p>
            <w:pPr>
              <w:pStyle w:val="TableContents"/>
              <w:bidi w:val="0"/>
              <w:spacing w:before="0" w:after="283"/>
              <w:jc w:val="both"/>
              <w:rPr/>
            </w:pPr>
            <w:r>
              <w:rPr/>
              <w:t>(7)</w:t>
            </w:r>
          </w:p>
        </w:tc>
        <w:tc>
          <w:tcPr>
            <w:tcW w:w="9954" w:type="dxa"/>
            <w:tcBorders/>
            <w:vAlign w:val="center"/>
          </w:tcPr>
          <w:p>
            <w:pPr>
              <w:pStyle w:val="TableContents"/>
              <w:bidi w:val="0"/>
              <w:spacing w:before="0" w:after="283"/>
              <w:jc w:val="both"/>
              <w:rPr/>
            </w:pPr>
            <w:r>
              <w:rPr/>
              <w:t>The restricted shares are subject to a 4-year vesting schedule, with 25% of the shares vesting on March 22, 2022 and 1/48</w:t>
            </w:r>
            <w:r>
              <w:rPr>
                <w:position w:val="7"/>
                <w:sz w:val="16"/>
                <w:sz w:val="20"/>
              </w:rPr>
              <w:t>th</w:t>
            </w:r>
            <w:r>
              <w:rPr/>
              <w:t xml:space="preserve"> of the shares vesting monthly over the 36 month-period thereafter, subject to the executive’s continued employment through each vesting date.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pPr>
            <w:r>
              <w:rPr/>
              <w:t>(8)</w:t>
            </w:r>
          </w:p>
        </w:tc>
        <w:tc>
          <w:tcPr>
            <w:tcW w:w="9954" w:type="dxa"/>
            <w:tcBorders/>
            <w:vAlign w:val="center"/>
          </w:tcPr>
          <w:p>
            <w:pPr>
              <w:pStyle w:val="TableContents"/>
              <w:bidi w:val="0"/>
              <w:spacing w:before="0" w:after="283"/>
              <w:jc w:val="both"/>
              <w:rPr/>
            </w:pPr>
            <w:r>
              <w:rPr/>
              <w:t>The options are subject to a 4-year vesting schedule, with 25% of the option shares vesting on November 1, 2022 and 1/48</w:t>
            </w:r>
            <w:r>
              <w:rPr>
                <w:position w:val="7"/>
                <w:sz w:val="16"/>
                <w:sz w:val="20"/>
              </w:rPr>
              <w:t>th</w:t>
            </w:r>
            <w:r>
              <w:rPr/>
              <w:t xml:space="preserve"> of the option shares vesting monthly over the 36 month-period thereafter, subject to the executive’s continued employment through each vesting date.</w:t>
            </w:r>
          </w:p>
        </w:tc>
      </w:tr>
      <w:tr>
        <w:trPr/>
        <w:tc>
          <w:tcPr>
            <w:tcW w:w="251" w:type="dxa"/>
            <w:tcBorders/>
            <w:vAlign w:val="center"/>
          </w:tcPr>
          <w:p>
            <w:pPr>
              <w:pStyle w:val="TableContents"/>
              <w:bidi w:val="0"/>
              <w:spacing w:before="0" w:after="283"/>
              <w:jc w:val="both"/>
              <w:rPr/>
            </w:pPr>
            <w:r>
              <w:rPr/>
              <w:t> </w:t>
            </w:r>
          </w:p>
        </w:tc>
        <w:tc>
          <w:tcPr>
            <w:tcW w:w="9954" w:type="dxa"/>
            <w:tcBorders/>
            <w:vAlign w:val="center"/>
          </w:tcPr>
          <w:p>
            <w:pPr>
              <w:pStyle w:val="TableContents"/>
              <w:bidi w:val="0"/>
              <w:spacing w:before="0" w:after="283"/>
              <w:jc w:val="both"/>
              <w:rPr/>
            </w:pPr>
            <w:r>
              <w:rPr/>
              <w:t> </w:t>
            </w:r>
          </w:p>
        </w:tc>
      </w:tr>
      <w:tr>
        <w:trPr/>
        <w:tc>
          <w:tcPr>
            <w:tcW w:w="251" w:type="dxa"/>
            <w:tcBorders/>
            <w:vAlign w:val="center"/>
          </w:tcPr>
          <w:p>
            <w:pPr>
              <w:pStyle w:val="TableContents"/>
              <w:bidi w:val="0"/>
              <w:spacing w:before="0" w:after="283"/>
              <w:jc w:val="both"/>
              <w:rPr/>
            </w:pPr>
            <w:r>
              <w:rPr/>
              <w:t>(9)</w:t>
            </w:r>
          </w:p>
        </w:tc>
        <w:tc>
          <w:tcPr>
            <w:tcW w:w="9954" w:type="dxa"/>
            <w:tcBorders/>
            <w:vAlign w:val="center"/>
          </w:tcPr>
          <w:p>
            <w:pPr>
              <w:pStyle w:val="TableContents"/>
              <w:bidi w:val="0"/>
              <w:spacing w:before="0" w:after="283"/>
              <w:jc w:val="both"/>
              <w:rPr/>
            </w:pPr>
            <w:r>
              <w:rPr/>
              <w:t>The options are subject to a 4-year vesting schedule running from the date the Board retroactively determined that vesting should run regardless of Milestone achievement, with 1/48</w:t>
            </w:r>
            <w:r>
              <w:rPr>
                <w:position w:val="7"/>
                <w:sz w:val="16"/>
                <w:sz w:val="20"/>
              </w:rPr>
              <w:t>th</w:t>
            </w:r>
            <w:r>
              <w:rPr/>
              <w:t xml:space="preserve"> of the option shares vesting on July 15, 2022 and monthly thereafter, subject to the executive’s continued employment through each vesting date.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 Arrangements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Touraj Parang Offer Letter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2021, Serve entered into an offer letter with the Company’s President and Chief Operating Officer, Touraj Parang, pursuant to which Mr. Parang is entitled to an annual base salary of $250,000 per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Parang is eligible to participate in the Company employee benefits plans maintained by the Company and generally made available to similarly situated employees. Mr. Parang’s employment is “at-will” and may be terminated by either party at any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Parang will continue to be employed by the Company under the terms of his offer letter with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a termination payment letter entered into with Mr. Parang in fiscal year 2021, please see the section below titled “</w:t>
      </w:r>
      <w:r>
        <w:rPr>
          <w:rFonts w:ascii="Times New Roman;Times;Serif" w:hAnsi="Times New Roman;Times;Serif"/>
          <w:b w:val="false"/>
          <w:i/>
          <w:caps w:val="false"/>
          <w:smallCaps w:val="false"/>
          <w:sz w:val="20"/>
        </w:rPr>
        <w:t>Potential Payments Upon Termination or Change in Control — Parang Termination Payment Letter</w:t>
      </w:r>
      <w:r>
        <w:rPr>
          <w:rFonts w:ascii="Times New Roman;Times;Serif" w:hAnsi="Times New Roman;Times;Serif"/>
          <w:b w:val="false"/>
          <w:i w:val="false"/>
          <w:caps w:val="false"/>
          <w:smallCaps w:val="false"/>
          <w:sz w:val="20"/>
        </w:rPr>
        <w:t>” in this Current Report on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Euan Abraham Offer Letter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2021, Serve entered into an offer letter whereby Euan Abraham agreed to serve as the Company’s Senior Vice President of Hardware Engineering beginning January 1, 2022 pursuant to which Mr. Abraham is entitled to an annual base salary of $300,000 per year. In November 2022, Mr. Abraham’s annual base salary was adjusted to $240,000 per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Abraham is eligible to participate in the Company employee benefits plans maintained by the Company and generally made available to similarly situated employees. Mr. Abraham’s employment is “at-will” and may be terminated by either party at any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Abraham will continue to be employed by the Company under the terms of his offer letter with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 in Control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Time-Based Awards and Milestone-Based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Time-Based Awards and Milestone-Based Awards granted to Dr. Kashani and Mr. Parang will fully vest upon a termination of service by the Company without “cause” or upon the executive’s resignation for “good reason” (each, an “involuntary termination”). The acceleration of the Kashani Time-Based Award and the Kashani Milestone-Based Award is subject to Dr. Kashani’s return of all Company property in his possession within 10 business days following the date of involuntary termination and his execution of a general release of all claims that becomes effective no later than the 30th day after the date of involuntary termination.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applicable executive’s service with the Company terminates for any reason, any unvested shares subject to the Time-Based Awards and Milestone-Based Awards granted to Dr. Kashani and Mr. Parang may be repurchased by the Company within 3 months following the date of termination at the original purchase price paid for the shares. In addition, in the event the applicable executive’s service with the Company terminates for any reason on or prior to February 18, 2025, any vested shares subject to the Milestone-Based Awards granted to Dr. Kashani and Mr. Parang may be repurchased by the Company within 3 months following the date of termination at the lesser of (x) a purchase price per share of the Company’s common stock equal to $500 million divided by the then fully diluted capitalization of the Company or (y) the then current fair market value per share of the Company’s common stock (the “Award Call Option”).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Time-Based Awards and the Milestone-Based Awards granted to Dr. Kashani and Mr. Parang, “cause” means: (i) any material breach by the executive of any material written agreement between the executive and the Company and the executive’s failure to cure such breach within 30 days after receiving written notice thereof; (ii) any failure by the executive to comply with the Company’s material written policies or rules as they may be in effect from time to time; (iii) neglect or persistent unsatisfactory performance of the executive’s duties and the executive’s failure to cure such condition within 30 days after receiving written notice thereof; (iv) the executive’s repeated failure to follow reasonable and lawful instructions from the Company’s board of directors and the executive’s failure to cure such condition within 30 days after receiving written notice thereof; (v) the executive’s conviction of, or plea of guilty or nolo contendere to, any crime that results in, or is reasonably expected to result in, material harm to the business or reputation of the Company; (vi) the executive’s commission of or participation in an act of fraud against the Company; (vii) the executive’s intentional material damage to the Company’s business, property or reputation; or (viii) the executive’s unauthorized use or disclosure of any proprietary information or trade secrets of the Company or any other party to whom the executive owes an obligation of nondisclosure as a result of the executive’s relationship with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Kashani Time-Based Award and the Kashani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the executive’s then-current base salary is reduced by more than 10% (other than as part of an across-the-board salary reduction applicable to all similarly situated employees); (ii) a material reduction of the executive’s duties, authority, responsibilities or reporting relationship, relative to the executive’s duties, authority, responsibilities or reporting relationship as in effect immediately prior to such reduction; or (iii) the Company (or its successor) conditions the executive’s continued service on the executive being transferred to a site of employment that would increase the executive’s one-way commute by more than 50 miles from the executive’s then-principal residence. In order for the executive to resign for good reason, the executive must provide written notice to the Company of the existence of the good reason condition within 30 days of the initial existence of such condition. Upon receipt of such notice, the Company will have 30 days during which it may remedy the condition and not be required to provide for the acceleration described herein as a result of such proposed resignation. If the condition is not remedied within such 30-day period, the executive may resign based on the condition specified in the notice effective no later than 60 days following the expiration of the Company’s 30-day cure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Parang Time-Based Award and the Parang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a reduction of the executive’s then current base salary by 10% or more unless such reduction is part of a generalized salary reduction affecting similarly situated employees; (ii) a change in the executive’s position with the Company that materially reduces the executive’s duties, level of authority or responsibility; or (iii) the Company conditions the executive’s continued service with the Company on the executive’s being transferred to a site of employment that would increase the executive’s one-way commute by more than 35 miles from Purchaser’s then principal residence.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Parang Termination Payment Letter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2021, Serve entered into a termination payment letter agreement with Mr. Parang (the “Termination Payment Letter”), which provides that if (i) the Company terminates Mr. Parang’s service with the Company without cause on or prior to February 18, 2025 and (ii) the Company exercises its Award Call Option with respect to all or a portion of the Parang Milestone-Based Award, then the Company will pay Mr. Parang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of termination. The termination payment is subject to Mr. Parang’s return of all Company property in his possession within 10 business days following the date of involuntary termination and his execution of a general release of all claims that becomes effective no later than the 30th day after the date of termination.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Kashani Termination Payment Letter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2021, Serve entered into a termination payment letter agreement with Dr. Kashani (the “Termination Payment Letter”), which provides that if (i) the Company terminates Dr. Kashani’s service with the Company without cause on or prior to February 18, 2025 and (ii) the Company exercises its Award Call Option with respect to all or a portion of the Kashani Milestone-Based Award, then the Company will pay Dr. Kashani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of termination. The termination payment is subject to Dr. Kashani’s return of all Company property in his possession within 10 business days following the date of involuntary termination and his execution of a general release of all claims that becomes effective no later than the 30th day after the date of termination.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2023 Equity Incentive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material features of the 2023 Plan. The 2023 Plan is set forth in its entirety as an Exhibit to this this registration statement on Form S-1, and all descriptions of the 2023 Plan contained in this section are qualified by reference to the complete text of the 2023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is intended to (i) attract and retain the best available personnel to ensure our success and accomplish our goals, (ii) incentivize employees, directors and independent contractors with long-term equity-based compensation to align their interests with our stockholders, and (iii) promote the success of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Stock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permits the grant of incentive stock options, nonstatutory stock options, stock appreciation rights (“SARs”), restricted stock, restricted stock units (“RSUs”) and stock bonus awards (all such types of awards, collectively, “stock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Reserve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Number of Shares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of directors, 4% of the shares of common stock issued and outstanding on the last day of the immediately preceding month on a fully-diluted and as-converted basis and (ii) such other number of shares determined by our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Lapsed Awards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stock awards or awards or shares issued under the 2021 Plan that are assumed by the Company pursuant to the Merger Agreement (“Existing Plan Awards”) expire or are forfeited or becomes unexercisable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78</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Assumption or Substitution of Awards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(as defined below), from time to time, may determine to substitute or assume outstanding awards granted by another company, whether in connection with an acquisition of such other company or otherwise, by either: (a) assuming such award under the 2023 Plan or (b) granting a stock award under the 2023 Plan in substitution of such other company’s award. Such assumption or substitution will be permissible if the holder of the substituted or assumed award would have been eligible to be granted a stock award under the 2023 Plan if the other company had applied the rules of the 2023 Plan to such grant. In the event the Plan Administrator elects to assume an award granted by another company, subject to the requirements of Section 409A of the Code (“Section 409A”), the purchase price or the exercise price, as the case may be, and the number and nature of shares issuable upon exercise or settlement of any such stock award will be adjusted appropriately. In the event the Plan Administrator elects to grant a new option in substitution rather than assuming an existing option, such new option may be granted with a similarly adjusted exercise price. Any awards that are assumed or substituted under the 2023 Plan shall not reduce the number of shares authorized for grant under the 2023 Plan or authorized for grant to a participant in any fiscal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directors and independent contractors of us or our affiliates are all eligible to participate in the 2023 Plan. Incentive Stock Options may only be granted to employees. Following the Closing, the Company is expected to have approximately 62 employees in the United States and nine employees in Canada through our wholly-owned Canadian subsidiary, seven consultants and three non-employee directors who will be eligible to be granted stock awards under the 2023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Administration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will be administered by our board of directors or a committee thereof, which committee will be constituted to satisfy applicable laws (the “Plan Administrator”). To the extent desirable to qualify transactions under the 2023 Plan as exempt under Rule 16b-3 of the Exchange Act, the transactions contemplated un the 2023 Plan will be structured to satisfy the requirements for exemption under Rule 16b-3.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2023 Plan, the Plan Administrator has the authority, in its discretion, to (i) determine the fair market value in accordance with the 2023 Plan; (ii) select the service providers to whom stock awards may be granted under the 2023 Plan; (iii) determine the number of shares to be covered by each stock award granted under the 2023 Plan; (iv) approve forms of stock award agreements for use under the 2023 Plan; (v) determine the terms and conditions, not inconsistent with the terms of the 2023 Plan, of any stock award granted thereunder; (vi) institute and determine the terms and conditions of an exchange program under the terms of the 2023 Plan (subject to stockholder approval); (vii) construe and interpret the terms of the 2023 Plan and stock awards granted pursuant to the 2023 Plan; (viii) correct any defect, supply any omission or reconcile any inconsistency in the 2023 Plan, any stock award or any award agreement; (ix) prescribe, amend and rescind rules and regulations relating to the 2023 Plan; (x) modify or amend each stock award (subject to the terms of the 2023 Plan); (xi) adjust performance goals to take into account changes in applicable laws or in accounting or tax rules, or such other extraordinary, unforeseeable, nonrecurring or infrequently occurring events or circumstances as the Plan Administrator deems necessary or appropriate to avoid windfalls or hardships; (xii) allow participants to satisfy tax withholding obligations in such manner as prescribed in the 2023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2023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Plan Administrator, in its sole discretion and on such terms and conditions as it may provide, may delegate all or any part of its authority and powers under the 2023 Plan to one or more of our directors or officers. To the extent permitted by applicable laws, the Plan Administrator may delegate to one or more officers who may be (but are not required to be) insiders subject to Section 16 of the Exchange Act, the authority to do any of the following (i) designate employees who are not insiders to be recipients of stock awards, (ii) determine the number of shares to be subject to such stock awards granted to such designated employees, and (iii) take any and all actions on behalf of the Plan Administrator other than any actions that affect the amount or form of compensation of Insiders or have material tax, accounting, financial, human resource or legal consequences to us or our affiliates; provided, however, that the Plan Administrator resolutions regarding any delegation with respect to (i) and (ii) will specify the total number of shares that may be subject to the stock awards granted by such officer and that such officer may not grant a stock award to himself or herself. Any stock awards will be granted on the form of award agreement most recently approved for use by the Plan Administrator, unless otherwise provided in the resolutions approving the delegation authority.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in its sole discretion, determine the performance goals, if any, applicable to any stock award (including any adjustment(s) thereto that will be applied in determining the achievement of such performance goals) on or prior to the Determination Date (as defined in the 2023 Plan). The performance goals may differ from participant to participant and from stock award to stock award. The Plan Administrator shall determine and approve the extent to which such performance goals have been timely achieved and the extent to which the shares subject to such stock award have thereby been earned.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to participants who are insiders subject to Section 16 of the Exchange Act must be approved by two or more “non-employee directors” of the Board (as defined in the regulations promulgated under Section 16 of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option will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$0.10 million, such stock options will be treated as nonstatutory stock options. Incentive stock options may only be granted to employees.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each stock option will be stated in the stock award agreement. In the case of an incentive stock option, the term will be ten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Section 424(a) of the Code.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stock option is granted, the Plan Administrator will fix the period within which the stock option may be exercised and will determine any conditions that must be satisfied before the stock option may be exercised. A stock option may become exercisable upon completion of a specified period of service with us or one of our affiliates and/or based on the achievement of performance goals during a performance period as set out in advance in the participant’s award agreement. If a stock option is exercisable based on the satisfaction of performance goals, then the Plan Administrator will: (x) determine the nature, length and starting date of any performance period for such stock option; (y) select the performance goals to be used to measure the performance; and (z) determine what additional vesting conditions, if any, should apply.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 The Plan Administrator will also determine the acceptable form of consideration for exercising a stock option, including the method of payment.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 ceases to be a service provider other than for “Cause” (as defined in the 2023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Any outstanding stock option (including any vested portion thereof) held by a participant shall immediately terminate in its entirety upon the participant being first notified of his or her termination for Cause.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Appreciation Rights (SARs)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determine the terms and conditions of each SAR, provided that the exercise price for each SAR will be no less than 100% of the fair market value of the underlying shares of common stock on the date of grant. An SAR may become exercisable upon completion of a specified period of service with us or one of our affiliates and/or based on the achievement of performance goals during a performance period as set out in advance in the participant’s award agreement. If an SAR is exercisable based on the satisfaction of performance goals, then the Plan Administrator will: (x) determine the nature, length and starting date of any performance period for such SAR; (y) select the performance goals to be used to measure the performance; and (z) determine what additional vesting conditions, if any, should apply.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 Upon exercise of an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or shares of common stock, as determined by the Plan Administrator. SARs are exercisable at the times and on the terms established by the Plan Administrator.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and RSUs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are grants of shares of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common stock. Restrictions may lapse upon the completion of a specified period of service with us or one of our affiliates and/or based on the achievement of performance goals during a performance period as set out in advance in the participant’s award agreement. If the unvested shares of restricted stock or RSUs are being earned upon the satisfaction of performance goals, then the Plan Administrator will: (x) determine the nature, length and starting date of any performance period for each unvested share or RSU; (y) select the performance goals to be used to measure the performance; and (z) determine what additional vesting conditions, if any, should apply.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restricted stock or RSUs should be granted, and/or the vesting schedule for such a stock award, the Plan Administrator may impose whatever conditions on vesting as it determines to be appropriate. For example, the Plan Administrator may determine to grant restricted stock or RSUs only if performance goals established by the Plan Administrator are satisfied. Any performance goals may be applied on a Company-wide or an individual business unit basis, as determined by the Plan Administrator.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restricted stock with respect to which they were paid. During the period of restriction, such dividends or other distributions shall be subject to the same restrictions and risk of forfeiture as the shares of restricted stock with respect to which the dividends accrue and shall not be paid or distributed unless and until such related shares have vested and been earned.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Bonus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bonus award is an award of shares to an eligible person without a purchase price that is not subject to any restrictions. All stock bonus awards may but are not required to be made pursuant to an award agreement. The Plan Administrator will determine the number of shares to be awarded to the participant under a stock bonus award. Payment may be made in the form of cash, whole shares, or a combination thereof, based on the fair market value of the shares subject to the stock bonus award on the date of payment, as determined in the sole discretion of the Administrator.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Goals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in its discretion may make performance goals applicable to a participant with respect to a stock award. In the Plan Administrator’s discretion, one or more of the following performance goals may apply: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 (20) 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and (27) enterprise resource planning. Stock awards issued to participants may take into account other criteria (including subjective criteria).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Outside Director Limitations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during a single fiscal year under the 2023 Plan or otherwise, taken together with any cash fees paid during such fiscal year for services on the board of directors, shall not exceed $0.50 million in total value for any non-employee director (“Outside Director”) (calculating the value of any such stock awards, in each case, based on the grant date fair value of such stock awards for financial reporting purposes). Such applicable limit shall include the value of any stock awards that are received in lieu of all or a portion of any annual committee cash retainers or other similar cash based payments. Stock awards granted to an individual while he or she was serving in the capacity as an employee or while he or she was an independent contractor but not an Outside Director will not count for purposes of these limitations.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Leaves of Absence / Transfer Between Locations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has the discretion to determine at any time whether and to what extent the vesting of stock awards shall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subsidiary.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be treated for tax purposes as a nonstatutory stock option in accordance with applicable laws, unless reemployment upon the expiration of such leave is guaranteed by contract or statute, or unless provided otherwise pursuant to a written Company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Time Commitment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participant’s regular level of time commitment in the performance of his or her services for us or one of our affiliates is reduced (for example, and without limitation, if the participant is an employee and the employee has a change in status from full-time to part-time or takes an extended leave of absence) after the date of grant of any stock award, the Plan Administrator, in its sole discretion, may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schedule applicable to such stock award (in accordance with Section 409A, as applicable). In the event of any such reduction, the participant will have no right with respect to any portion of the stock award that is so amended.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Nontransferability of Stock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Recoupment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specify in an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2023 Plan, a stock award granted under the 2023 Plan shall be subject to the Company’s clawback policy as may be established and/or amended from time to time (the “Compensation Recovery Policy”).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such company policy or as necessary or appropriate to comply with applicable laws. For the avoidance of doubt, each participant will be subject to compliance with applicable laws, the Company’s Code of Ethics and Business Conduct, and the Company’s corporate policies, as applicable, including without limitation the Company’s Compensation Recovery Policy. Notwithstanding anything to the contrary herein, (i) compliance with applicable law, the Company’s Code of Ethics and Business Conduct, and the Company’s corporate policies, as applicable, will be a pre-condition to earning, or vesting in respect of, any award under the 2023 Plan and (ii) any awards under the 2023 Plan which are subject to the Company’s Compensation Recovery Policy will not be earned or vested, even if already granted, paid or settled, until the Company’s Compensation Recovery Policy ceases to apply to such awards and any other vesting conditions applicable to such awards are satisfied.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stock split, reverse stock split, stock dividend, combination, consolidation, recapitalization or reclassification of the shares, subdivision of the shares, a rights offering, a reorganization, merger, spin-off, split-up, repurchase, or exchange of common stock or other securities of us or other significant corporate transaction, or other change affecting common stock occurs, the Plan Administrator, in order to prevent dilution, diminution or enlargement of the benefits or potential benefits intended to be made available under the 2023 Plan, will, in such manner as it may deem equitable, adjust the number, kind and class of securities that may be delivered under the 2023 Plan and/or the number, class, kind and price of securities covered by each outstanding stock award; provided that all such adjustment will be made in a manner that does not result in taxation under Section 409A.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2023 Plan), each outstanding stock award (vested or unvested) will be treated as the Plan Administrator determines, which determination may provide for one or more of the following: (a) the continuation of such outstanding stock awards (if we are the surviving corporation); (b) 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(which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(e) the opportunity for participants to exercise the stock options prior to the occurrence of the corporate transaction and the termination (for no consideration) upon the consummation of such corporate transaction of any stock options not exercised prior thereto; or (f) the cancellation of outstanding stock awards in exchange for no consideration.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award may be subject to additional acceleration of vesting and exercisability upon or after a “Change in Control” (as defined in the 2023 Plan) as may be provided in the award agreement for such stock award or as may be provided in any other written agreement between us or any affiliate and the participant, but in the absence of such provision, no such acceleration will occur.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Termination and Duration of the 2023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will continue in effect for a term of 10 years measured from the date the 2023 Plan was approved by the Board, unless terminated earlier under the terms of the 2023 Plan. The Plan Administrator may at any time amend, alter, suspend or terminate the 2023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Tax Aspects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a stock option or SAR will not have taxable income upon the grant of the stock option or SAR. For nonstatutory stock options and SARs, the participant will recognize ordinary income upon exercise in an amount equal to the excess of the fair market value of the shares over the exercise price—the appreciation value—on the date of exercise. Any additional gain or loss recognized upon any later disposition of the shares generally will be long-term or short-term capital gain or loss, depending on whether the shares are held for more than one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shares upon exercise of an incentive stock option will not result in any taxable income to the participant, except for purposes of the alternative minimum tax. Gain or loss recognized by the participant on a later sale or other disposition of the shares will be capital gain or loss and/or ordinary income depending upon whether the participant holds the shares transferred upon exercise for a specified period. If the shares are held for the specified period, any gain generally will be taxed at long-term capital-gain rates. If the shares are not held for the specified period, generally any gain up to the excess of the fair market value of the shares on the date of exercise over the exercise price will be treated as ordinary income. Any additional gain generally will be taxable at long-term or short-term capital-gain rates, depending on whether the participant held the shares for more than one year after the exercise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restricted stock will not have taxable income until vesting unless the participant timely files an election under Section 83(b) of the Code to be taxed at the time of grant (“Section 83(b) election”). The participant will recognize ordinary income equal to the fair market value of the shares at the time of vesting less the amount paid for such shares (if any) if no such election is made. Any additional gain or loss recognized upon any later disposition of the shares generally will be long-term or short-term capital gain or loss, depending on whether the shares are held for more than one year. If a participant timely files a Section 83(b) election, the participant will recognize ordinary income equal to the fair market value of the shares at the time of purchase or grant less the amount paid for such shares (if 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RSUs, performance units or performance shares will not have taxable income upon grant of the stock award; instead the participant will be taxed upon settlement of the stock award. The participant will recognize ordinary income equal to the fair market value of the shares or the amount of cash received by the participant. In addition, Section 409A imposes certain restrictions on deferred compensation arrangements. Stock awards that are treated as deferred compensation under Section 409A are intended to meet the requirements of this section of the Code.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at its discretion and pursuant to such procedures as it may specify from time to time, permit a participant to satisfy such withholding or deduction obligations or any other tax-related items, in whole or in part by (without limitation) paying cash, electing to have us withhold otherwise deliverable cash or shares, or delivering to us already-owned shares; provided that, unless the Plan Administrator permits otherwise,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we deem to be reasonable and in accordance with applicable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entitled to a tax deduction in connection with a stock award under the 2023 Plan only in an amount equal to the ordinary income realized by the participant and at the time the participant recognizes the income. Section 162(m) of the Code places a limit of $1 million on the amount of compensation that we may deduct as a business expense in any year with respect to certain of our most highly paid executive officers. While the Plan Administrator considers the deductibility of compensation as one factor in determining executive compensation, the Plan Administrator retains the discretion to award and pay compensation that is not deductible as it believes that it is in the best interests of our stockholders to maintain flexibility in our approach to executive compensation and to structure a program that we consider to be the most effective in attracting, motivating and retaining key employees.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Plan Benefits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does not provide for set benefits or amounts of awards and we have not approved any stock awards that are conditioned on stockholder approval of the 2023 Plan. We have not approved any stock awards under the 2023 Plan in connection with the Merger. All future awards to directors, executive officers, employees and consultants under the 2023 Plan are discretionary and cannot be determined at this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r_013"/>
      <w:bookmarkEnd w:id="14"/>
      <w:r>
        <w:rPr>
          <w:rFonts w:ascii="Times New Roman;Times;Serif" w:hAnsi="Times New Roman;Times;Serif"/>
          <w:b/>
          <w:i w:val="false"/>
          <w:caps/>
          <w:sz w:val="20"/>
        </w:rPr>
        <w:t>CERTAIN RELATIONSHIPS AND RELATED PARTY TRANSACTIONS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describe transactions since January 1, 2021, in which the amounts involved exceeded or will exceed the lesser of (i) $120,000 and (ii) 1% of the average total assets of the Company at year end for the last two completed fiscal years, between the Company and any of our directors, executive officers, or beneficial holders of more than 5% of Serve’s pre-Merger capital stock. Other than as described below, there have not been transactions to which we have been a party other than compensation arrangements, which are described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The following description is historical and has not been adjusted to give effect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Subordinated Promissory Note with Ali Kashani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Serve issued a Secured Subordinated Promissory Note (the “Kashani Note”) to Ali Kashani, a holder of greater than 5% of the pre-Merger capital stock of Serve who serves as Chief Executive Officer and is a member of the Serve Board of Directors, in exchange for a loan with the aggregate principal amount of $449,000. Pursuant to the Kashani Note, the loan accrued interest on the unpaid principal amount at a rate of 7.67% per annum, computed as simple interest. Dr. Kashani was entitled to an exit fee equal to 16% of the stated principal amount of the Kashani Note, less the total amount of interest that accrued on the Kashani Note prior to the Closing of the Merger (the “Kashani Exit Fee”). Serve paid the Kashani Exit Fee and repaid the Kashani Note upon the Closing of the Merger. On August 4, 2023, payment of $520,840 was made to Ali Kashani as repayment of the promissory note, which includes $449,000 in principal and $71,840 in interest. No additional fees were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Uber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prospectus, Serve is a spin-off of Uber. Serve was initially formed in 2017 as the X division of Postmates, which was acquired by Uber in 2020. Uber held greater than 5% of Serve’s pre-Merger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Master Framework Agreement and Project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and the Company entered into the Master Framework Agreement, effective September 3, 2021 which was amended by Amendment No. 1 to the Master Framework Agreement, dated June 7, 2022, Amendment No. 2 to the Master Framework Agreement, dated January 12, 2023, and Amendment No. 3 to the Master Framework Agreement, dated September 6, 2023 (as amended, the “Master Framework Agreement”). The term of the Master Framework Agreement has been extended twice and is currently effective until February 24, 2027 and automatically renews for one-year periods unless terminated. Pursuant to the Master Framework Agreement, the Company agreed to provide delivery robots for Uber deliveries and Uber to pay delivery fees based on the services provided by the delivery robots. In addition, among other things, under the Master Framework Agreement, the Company is obligated to obtain and maintain the necessary regulatory approvals and licenses and certain types and levels of insurance for the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Uber entered into separate Project Plans on February 3, 2022 (“Project Plan #1”) and May 26, 2022 (“Project Plan #2” and together with Project Plan #1, the “Project Plans”) for deployment of the Company’s robots to perform concurrent deliveries on Uber’s platform. Under Project Plan #1, Uber and the Company worked together to onboard 10 robots to perform concurrent deliveries on Uber’s platform in a mutually agreed upon operating area in Los Angeles, California. Entering into Project Plan #2 signified satisfactory completion of Project Plan #1. Under Project Plan #2, Uber and the Company are working together to deploy up to 2,000 robots on Uber’s platform in multiple cities in the U.S. Each of these Project Plans is governed by the terms of the Master Framework Agreement. Pursuant to the Project Plans, the Company and Uber have agreed to meet monthly to discuss completion dates and key milestones for the Master Framework Agreement and to establish operating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Master Framework Agreement provides for certain negotiated indemnification terms, including indemnification by the Company for damages resulting from third-party intellectual property rights claims. The Project Plans require the Company to maintain commercial insurance during the term of the Project Plans, including for general liability, auto liability and workers’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Contribution and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2021, the Company entered into a Contribution and License Agreement (the “Contribution Agreement”) with Postmates LLC, a wholly-owned subsidiary of Uber. Pursuant to the Contribution Agreement, Postmates contributed assets and liabilities of Serve and Serve assumed those assets and liabilities and Postmates retained licenses for certain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Wavemaker – Side Letter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2022, the Company and Wavemaker Pacific 4, L.P. entered into a SAFE along with a side letter to the SAFE dated as of December 15, 2022 (the “Wavemaker Side Letter”). Wavemaker Pacific 4, L.P. holds greater than 5% of Serve’s pre-Merger capital stock. Pursuant to the Wavemaker Side Letter, Wavemaker Pacific 4, L.P. is granted preemptive rights to purchase preferred stock sold in an equity financing, among 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 2.0 LP –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2022, the Company, NEO 2.0, L.P. (“NEO 2.0”) and NEO 2.0a, L.P. (“NEO 2.0a,” and together with NEO 2.0, the “NEO Entities”) entered into a SAFE along with a side letter dated as of December 5, 2022 (the “NEO Entities Side Letter”). The NEO Entities own greater than 5% of Serve’s pre-Merger capital stock. Pursuant to the NEO Entities Side Letter, the NEO entities are granted preemptive rights to purchase preferred stock sold in an equity financing, among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NVIDIA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Collaboration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2022, the Company and NVIDIA entered into a business collaboration agreement (the “Business Collaboration Agreement”) pursuant to which the Company and NVIDIA agreed to collaborate on the potential integration of NVIDIA’s AI capabilities into the Company’s robots,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NVIDIA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2021, the Company and NVIDIA entered into a Series Seed Preferred Stock Purchase Agreement (the “Preferred Stock Purchase Agreement”) and a SAFE. Pursuant to the Preferred Stock Purchase Agreement NVIDIA agreed to purchase 257,639 shares of Series Seed Preferred Stock from the Company. The SAFE was of a stated purchase amount of $9,000,000. On February 4, 2022, the Company and NVIDIA entered into a side letter (the “NVIDIA Side Letter”) pursuant to which the Company granted NVIDIA contractual management rights including inspection rights and a right of first refusal,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series of transactions closing between January 29, 2021 and March 16, 2021, Serve issued SAFEs for an aggregate purchase amount of $6,750,000 to investors of Serve (the “2021 SAFEs”). The 2021 SAFEs were converted into shares of Series Seed-2 Preferred Stock on October 4, 2021. The following table summarizes the purchase of 2021 SAFEs by related persons:</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28" w:type="dxa"/>
          <w:right w:w="0" w:type="dxa"/>
        </w:tblCellMar>
      </w:tblPr>
      <w:tblGrid>
        <w:gridCol w:w="2375"/>
        <w:gridCol w:w="60"/>
        <w:gridCol w:w="165"/>
        <w:gridCol w:w="1160"/>
        <w:gridCol w:w="75"/>
      </w:tblGrid>
      <w:tr>
        <w:trPr/>
        <w:tc>
          <w:tcPr>
            <w:tcW w:w="237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Purchaser</w:t>
            </w:r>
          </w:p>
        </w:tc>
        <w:tc>
          <w:tcPr>
            <w:tcW w:w="60" w:type="dxa"/>
            <w:tcBorders/>
            <w:tcMar>
              <w:bottom w:w="0" w:type="dxa"/>
            </w:tcMar>
            <w:vAlign w:val="center"/>
          </w:tcPr>
          <w:p>
            <w:pPr>
              <w:pStyle w:val="TableContents"/>
              <w:bidi w:val="0"/>
              <w:spacing w:before="0" w:after="283"/>
              <w:jc w:val="left"/>
              <w:rPr/>
            </w:pPr>
            <w:r>
              <w:rPr/>
              <w:t> </w:t>
            </w:r>
          </w:p>
        </w:tc>
        <w:tc>
          <w:tcPr>
            <w:tcW w:w="132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Aggregate</w:t>
              <w:br/>
              <w:t xml:space="preserve">Purchase </w:t>
              <w:br/>
              <w:t>Price for</w:t>
              <w:br/>
              <w:t>2021 SAFES</w:t>
            </w:r>
          </w:p>
        </w:tc>
        <w:tc>
          <w:tcPr>
            <w:tcW w:w="75" w:type="dxa"/>
            <w:tcBorders/>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Ali Kashani</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Future VC, LLC</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NEO 2.0, L.P.</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Olivier Vincent</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Pourdad Capital Corp.</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Postmates, LLC</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Ali Kashani holds greater than 5% of the pre-Merger capital stock of Serve, serves as Chief Executive Officer and is a member of the Serve Board of Directors.</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James Buckly Jordan is the manager of Future VC, LLC and serves as a member of the Serve Board of Directors.</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general partner of NEO 2.0., L.P. is NEO GP 2.0, LLC (“NEO GP”). NEO GP and its affiliates hold greater than 5% of the pre-Merger capital stock of Serve.</w:t>
            </w:r>
          </w:p>
        </w:tc>
      </w:tr>
    </w:tbl>
    <w:p>
      <w:pPr>
        <w:pStyle w:val="TextBody"/>
        <w:bidi w:val="0"/>
        <w:spacing w:before="0" w:after="0"/>
        <w:ind w:left="0" w:right="0" w:firstLine="5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305"/>
        <w:gridCol w:w="648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4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Olivier Vincent serves as a member of the Serve Board of Directors.</w:t>
            </w:r>
          </w:p>
        </w:tc>
      </w:tr>
    </w:tbl>
    <w:p>
      <w:pPr>
        <w:pStyle w:val="TextBody"/>
        <w:bidi w:val="0"/>
        <w:spacing w:before="0" w:after="0"/>
        <w:ind w:left="0" w:right="0" w:firstLine="5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305"/>
        <w:gridCol w:w="966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6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Pourdad Capital Corp is controlled by Ali Pourdad, who is a member of the Serve Board of Directors.</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Postmates, LLC is a wholly-owned subsidiary of Uber, which holds greater than 5% of the pre-Merger capital stock of Serve. Sarfraz Maredia is VP, Head of Americas, Delivery at Uber and serves as a member of the Serve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and November 2021 Seed 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2021, Serve entered into the Series Seed Preferred Stock Purchase Agreement, pursuant to which it issued 3,091,672 shares of Series Seed Preferred Stock. Pursuant to the Preferred Stock Purchase Agreement, the Company issued 2,440,411 shares of Series Seed-1 Preferred Stock, 2,088,696 shares of Series Seed-2 Preferred Stock and 357,836 shares of Series Seed-3 Preferred Stock as a result of SAFE conversions. In addition to the issuance of shares, the 2021 SAFEs were converted to Series Seed-2 Preferred Stock and Series Seed-1 Preferred Stock. The following table summarizes the purchase of Series Seed Preferred Stock and the conversion of the 2021 SAFEs by related persons: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22"/>
        <w:gridCol w:w="60"/>
        <w:gridCol w:w="76"/>
        <w:gridCol w:w="1024"/>
        <w:gridCol w:w="243"/>
        <w:gridCol w:w="60"/>
        <w:gridCol w:w="140"/>
        <w:gridCol w:w="1280"/>
        <w:gridCol w:w="60"/>
        <w:gridCol w:w="60"/>
        <w:gridCol w:w="140"/>
        <w:gridCol w:w="1280"/>
        <w:gridCol w:w="60"/>
        <w:gridCol w:w="60"/>
        <w:gridCol w:w="72"/>
        <w:gridCol w:w="1199"/>
        <w:gridCol w:w="60"/>
        <w:gridCol w:w="60"/>
        <w:gridCol w:w="87"/>
        <w:gridCol w:w="1184"/>
        <w:gridCol w:w="78"/>
      </w:tblGrid>
      <w:tr>
        <w:trPr/>
        <w:tc>
          <w:tcPr>
            <w:tcW w:w="2922" w:type="dxa"/>
            <w:tcBorders>
              <w:bottom w:val="single" w:sz="12" w:space="0" w:color="000000"/>
            </w:tcBorders>
            <w:vAlign w:val="center"/>
          </w:tcPr>
          <w:p>
            <w:pPr>
              <w:pStyle w:val="TableContents"/>
              <w:bidi w:val="0"/>
              <w:spacing w:before="0" w:after="283"/>
              <w:jc w:val="left"/>
              <w:rPr>
                <w:b/>
              </w:rPr>
            </w:pPr>
            <w:r>
              <w:rPr>
                <w:b/>
              </w:rPr>
              <w:t>Purchaser</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 xml:space="preserve">Shares of </w:t>
              <w:br/>
              <w:t xml:space="preserve">Series </w:t>
              <w:br/>
              <w:t xml:space="preserve">Seed </w:t>
              <w:br/>
              <w:t xml:space="preserve">Preferred </w:t>
              <w:br/>
              <w:t xml:space="preserve">Stock </w:t>
              <w:br/>
              <w:t>Purchased</w:t>
            </w:r>
          </w:p>
        </w:tc>
        <w:tc>
          <w:tcPr>
            <w:tcW w:w="2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12" w:space="0" w:color="000000"/>
            </w:tcBorders>
            <w:vAlign w:val="center"/>
          </w:tcPr>
          <w:p>
            <w:pPr>
              <w:pStyle w:val="TableContents"/>
              <w:bidi w:val="0"/>
              <w:spacing w:before="0" w:after="283"/>
              <w:jc w:val="center"/>
              <w:rPr>
                <w:b/>
              </w:rPr>
            </w:pPr>
            <w:r>
              <w:rPr>
                <w:b/>
              </w:rPr>
              <w:t xml:space="preserve">Aggregate </w:t>
              <w:br/>
              <w:t>Purchase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12" w:space="0" w:color="000000"/>
            </w:tcBorders>
            <w:vAlign w:val="center"/>
          </w:tcPr>
          <w:p>
            <w:pPr>
              <w:pStyle w:val="TableContents"/>
              <w:bidi w:val="0"/>
              <w:spacing w:before="0" w:after="283"/>
              <w:jc w:val="center"/>
              <w:rPr>
                <w:b/>
              </w:rPr>
            </w:pPr>
            <w:r>
              <w:rPr>
                <w:b/>
              </w:rPr>
              <w:t>Aggregate</w:t>
              <w:br/>
              <w:t>Purchase</w:t>
              <w:br/>
              <w:t>Price of</w:t>
              <w:br/>
              <w:t>2021 SAFEs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1" w:type="dxa"/>
            <w:gridSpan w:val="2"/>
            <w:tcBorders>
              <w:bottom w:val="single" w:sz="12" w:space="0" w:color="000000"/>
            </w:tcBorders>
            <w:vAlign w:val="center"/>
          </w:tcPr>
          <w:p>
            <w:pPr>
              <w:pStyle w:val="TableContents"/>
              <w:bidi w:val="0"/>
              <w:spacing w:before="0" w:after="283"/>
              <w:jc w:val="center"/>
              <w:rPr>
                <w:b/>
              </w:rPr>
            </w:pPr>
            <w:r>
              <w:rPr>
                <w:b/>
              </w:rPr>
              <w:t>Series Seed-</w:t>
              <w:br/>
              <w:t xml:space="preserve">1 Preferred </w:t>
              <w:br/>
              <w:t xml:space="preserve">Stock </w:t>
              <w:br/>
              <w:t xml:space="preserve">Issued for </w:t>
              <w:br/>
              <w:t>2021 SAFEs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1" w:type="dxa"/>
            <w:gridSpan w:val="2"/>
            <w:tcBorders>
              <w:bottom w:val="single" w:sz="12" w:space="0" w:color="000000"/>
            </w:tcBorders>
            <w:vAlign w:val="center"/>
          </w:tcPr>
          <w:p>
            <w:pPr>
              <w:pStyle w:val="TableContents"/>
              <w:bidi w:val="0"/>
              <w:spacing w:before="0" w:after="283"/>
              <w:jc w:val="center"/>
              <w:rPr>
                <w:b/>
              </w:rPr>
            </w:pPr>
            <w:r>
              <w:rPr>
                <w:b/>
              </w:rPr>
              <w:t>Series Seed-</w:t>
              <w:br/>
              <w:t xml:space="preserve">2 Preferred </w:t>
              <w:br/>
              <w:t xml:space="preserve">Stock </w:t>
              <w:br/>
              <w:t xml:space="preserve">Issued for </w:t>
              <w:br/>
              <w:t>2021 SAFEs</w:t>
            </w:r>
          </w:p>
        </w:tc>
        <w:tc>
          <w:tcPr>
            <w:tcW w:w="78" w:type="dxa"/>
            <w:tcBorders/>
            <w:tcMar>
              <w:bottom w:w="0" w:type="dxa"/>
            </w:tcMar>
            <w:vAlign w:val="center"/>
          </w:tcPr>
          <w:p>
            <w:pPr>
              <w:pStyle w:val="TableContents"/>
              <w:bidi w:val="0"/>
              <w:spacing w:before="0" w:after="283"/>
              <w:jc w:val="left"/>
              <w:rPr/>
            </w:pPr>
            <w:r>
              <w:rPr/>
              <w:t> </w:t>
            </w:r>
          </w:p>
        </w:tc>
      </w:tr>
      <w:tr>
        <w:trPr/>
        <w:tc>
          <w:tcPr>
            <w:tcW w:w="29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w:t>
            </w:r>
          </w:p>
        </w:tc>
        <w:tc>
          <w:tcPr>
            <w:tcW w:w="2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1,840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9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 L.P.</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193,355</w:t>
            </w:r>
          </w:p>
        </w:tc>
        <w:tc>
          <w:tcPr>
            <w:tcW w:w="2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750,487.09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2,468,706.24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908,619</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9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2.0a, L.P.</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2,451</w:t>
            </w:r>
          </w:p>
        </w:tc>
        <w:tc>
          <w:tcPr>
            <w:tcW w:w="2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9,512.04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31,292.56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11,517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9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Olivier Vincent</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w:t>
            </w:r>
          </w:p>
        </w:tc>
        <w:tc>
          <w:tcPr>
            <w:tcW w:w="2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3,680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9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Postmates, LLC</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128,819</w:t>
            </w:r>
          </w:p>
        </w:tc>
        <w:tc>
          <w:tcPr>
            <w:tcW w:w="2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499,999.35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2,440,411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9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Pourdad Capital Corp.</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12,882</w:t>
            </w:r>
          </w:p>
        </w:tc>
        <w:tc>
          <w:tcPr>
            <w:tcW w:w="2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49,999.00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18,403</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9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Wavemaker Pacific 4, L.P.</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772,918</w:t>
            </w:r>
          </w:p>
        </w:tc>
        <w:tc>
          <w:tcPr>
            <w:tcW w:w="2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2,999,999.16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9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Wavemaker Global Select II, LLC</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197,657</w:t>
            </w:r>
          </w:p>
        </w:tc>
        <w:tc>
          <w:tcPr>
            <w:tcW w:w="2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767,184.61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9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Wavemaker Global Select II, LLC</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461,379</w:t>
            </w:r>
          </w:p>
        </w:tc>
        <w:tc>
          <w:tcPr>
            <w:tcW w:w="24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1,790,794.96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Ali Kashani holds greater than 5% of the pre-Merger capital stock of Serve, serves as Chief Executive Officer and is a member of the Serve Board of Directors.</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general partner of each of NEO 2.0., L.P. and NEO 2.0a, L.P. is NEO GP. NEO GP and its affiliates hold greater than 5% of the pre-Merger capital stock of Serve.</w:t>
            </w:r>
          </w:p>
        </w:tc>
      </w:tr>
    </w:tbl>
    <w:p>
      <w:pPr>
        <w:pStyle w:val="TextBody"/>
        <w:bidi w:val="0"/>
        <w:spacing w:before="0" w:after="0"/>
        <w:ind w:left="0" w:right="0" w:firstLine="5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9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64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Olivier Vincent serves as a member of the Serve Board of Directors.</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Postmates, LLC is a wholly-owned subsidiary of Uber, which holds greater than 5% of the pre-Merger capital stock of Serve. Sarfraz Maredia is VP, Head of Americas, Delivery at Uber and serves as a member of the Serve Board of Directors.</w:t>
            </w:r>
          </w:p>
        </w:tc>
      </w:tr>
    </w:tbl>
    <w:p>
      <w:pPr>
        <w:pStyle w:val="TextBody"/>
        <w:bidi w:val="0"/>
        <w:spacing w:before="0" w:after="0"/>
        <w:ind w:left="0" w:right="0" w:firstLine="5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9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6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Pourdad Capital Corp is controlled by Ali Pourdad, who is a member of the Serve Board of Directors.</w:t>
            </w:r>
          </w:p>
        </w:tc>
      </w:tr>
    </w:tbl>
    <w:p>
      <w:pPr>
        <w:pStyle w:val="TextBody"/>
        <w:bidi w:val="0"/>
        <w:spacing w:before="0" w:after="0"/>
        <w:ind w:left="0" w:right="0" w:firstLine="5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29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81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Wavemaker Pacific 4, L.P. holds greater than 5% of Serve’s pre-Merger capital stock.</w:t>
            </w:r>
          </w:p>
        </w:tc>
      </w:tr>
    </w:tbl>
    <w:p>
      <w:pPr>
        <w:pStyle w:val="TextBody"/>
        <w:bidi w:val="0"/>
        <w:spacing w:before="0" w:after="0"/>
        <w:ind w:left="0" w:right="0" w:firstLine="5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29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55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Purchased in a subsequent closing on November 24, 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2021, Serve issued a warrant to purchase 128,819 shares of Series Seed Preferred Stock at an exercise price of $3.88 per share to Wavemaker Global Select II, LLC. All of these warrants were transferred on April 19, 2023, with 64,410 being transferred to James Buckly Jordan, a member of the Serve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4, 2022 and March 9, 2022, Serve issued SAFEs for an aggregate purchase amount of $10.59 million to investors of Serve (the “February 2022 SAFEs”). Between December 1, 2022 and January 18, 2023, Serve issued SAFEs for an aggregate purchase amount of $4.97 million to investors of Serve (the “December 2022 SAFEs” and, together with the February 2022 SAFEs, the “2022 SAFEs”). The following table summarizes the purchase of 2022 SAFEs by related persons:</w:t>
      </w:r>
    </w:p>
    <w:p>
      <w:pPr>
        <w:pStyle w:val="TextBody"/>
        <w:bidi w:val="0"/>
        <w:spacing w:before="0" w:after="0"/>
        <w:ind w:left="0" w:right="0" w:hanging="0"/>
        <w:jc w:val="both"/>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795"/>
        <w:gridCol w:w="60"/>
        <w:gridCol w:w="144"/>
        <w:gridCol w:w="1136"/>
        <w:gridCol w:w="75"/>
      </w:tblGrid>
      <w:tr>
        <w:trPr/>
        <w:tc>
          <w:tcPr>
            <w:tcW w:w="2795"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Purchaser</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Aggregate</w:t>
              <w:br/>
              <w:t xml:space="preserve">Purchase </w:t>
              <w:br/>
              <w:t xml:space="preserve">Price for </w:t>
              <w:br/>
              <w:t>2022 SAFEs</w:t>
            </w:r>
          </w:p>
        </w:tc>
        <w:tc>
          <w:tcPr>
            <w:tcW w:w="75" w:type="dxa"/>
            <w:tcBorders/>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NEO 2.0, L.P.</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987,482.99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NEO 2.0a, L.P.</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12,517.01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NVIDIA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Postmates, LLC</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Wavemaker Pacific 4, L.P.</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general partner of each of NEO 2.0., L.P. and NEO 2.0a, L.P. is NEO GP. NEO GP and its affiliates hold greater than 5% of the pre-Merger capital stock of Serve.</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Postmates, LLC is a wholly-owned subsidiary of Uber, which holds greater than 5% of the pre-Merger capital stock of Serve. Sarfraz Maredia is VP, Head of Americas, Delivery at Uber and serves as a member of the Serve Board of Directors.</w:t>
            </w:r>
          </w:p>
        </w:tc>
      </w:tr>
    </w:tbl>
    <w:p>
      <w:pPr>
        <w:pStyle w:val="TextBody"/>
        <w:bidi w:val="0"/>
        <w:spacing w:before="0" w:after="0"/>
        <w:ind w:left="0" w:right="0" w:firstLine="5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29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1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Wavemaker Pacific 4, L.P. holds greater than 5% of Serve’s pre-Merger capital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set forth above under the caption “</w:t>
      </w:r>
      <w:r>
        <w:rPr>
          <w:rFonts w:ascii="Times New Roman;Times;Serif" w:hAnsi="Times New Roman;Times;Serif"/>
          <w:b w:val="false"/>
          <w:i/>
          <w:caps w:val="false"/>
          <w:smallCaps w:val="false"/>
          <w:sz w:val="20"/>
        </w:rPr>
        <w:t>Description of the Merger, the Private Placement, and Related Transactions—Registration Rights</w:t>
      </w:r>
      <w:r>
        <w:rPr>
          <w:rFonts w:ascii="Times New Roman;Times;Serif" w:hAnsi="Times New Roman;Times;Serif"/>
          <w:b w:val="false"/>
          <w:i w:val="false"/>
          <w:caps w:val="false"/>
          <w:smallCaps w:val="false"/>
          <w:sz w:val="20"/>
        </w:rPr>
        <w:t>” is incorporated herein by reference. All of our directors, executive officers and holders of more than 5% of our capital stock are parties to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in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existing investors, including investors affiliated with certain of our directors and officers, have purchased an aggregate of 1,258,221 shares of our common stock in the Private Placement, for an aggregate gross purchase price of $5.01 million. Such purchases were made on the same terms as the shares that were sold to other investors in the Private Placement and not pursuant to any pre-existing contractual rights or obligations. Each of NVIDIA, and Postmates, LLC, who hold more than 5% of our capital stock, and Olivier Vincent and Ali Kashani participated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stock options to our executive officers and our directors. For a description of these stock options, see the sections 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indemnification agreements with each of our current directors and executive officers. The indemnification agreements and our amended and restated bylaws require us to indemnify our directors to the fullest extent not prohibited by DGCL. Subject to very limited exceptions, our amended and restated bylaws also require us to advance expenses incurred by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 formal review and approval policy for related party transactions at the time of any of the transactions described above. However, all of the transactions described above were entered into after presentation, consideration and approval by our board of directors. Subsequently, our audit committee adopted a charter which requires the audit committee to conduct appropriate review and oversight of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r_014"/>
      <w:bookmarkEnd w:id="1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the registration statement of which this prospectus forms a part to permit holders of the shares of common stock described in the section entitled “</w:t>
      </w:r>
      <w:r>
        <w:rPr>
          <w:rFonts w:ascii="Times New Roman;Times;Serif" w:hAnsi="Times New Roman;Times;Serif"/>
          <w:b w:val="false"/>
          <w:i/>
          <w:caps w:val="false"/>
          <w:smallCaps w:val="false"/>
          <w:sz w:val="20"/>
        </w:rPr>
        <w:t>Selling Stockholders</w:t>
      </w:r>
      <w:r>
        <w:rPr>
          <w:rFonts w:ascii="Times New Roman;Times;Serif" w:hAnsi="Times New Roman;Times;Serif"/>
          <w:b w:val="false"/>
          <w:i w:val="false"/>
          <w:caps w:val="false"/>
          <w:smallCaps w:val="false"/>
          <w:sz w:val="20"/>
        </w:rPr>
        <w:t>” to resell such shares. We will not receive any proceeds from the resale of any shares offered by this prospectus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r_015"/>
      <w:bookmarkEnd w:id="16"/>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of directors and will be dependent upon financial condition, results of operations, capital requirements and such other factors as the board of directors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r_016"/>
      <w:bookmarkEnd w:id="17"/>
      <w:r>
        <w:rPr>
          <w:rFonts w:ascii="Times New Roman;Times;Serif" w:hAnsi="Times New Roman;Times;Serif"/>
          <w:b/>
          <w:i w:val="false"/>
          <w:caps/>
          <w:sz w:val="20"/>
        </w:rPr>
        <w:t>DETERMINATION OF SALE PRICE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only sell their shares of common stock pursuant to this prospectus at a fixed price of $4.00 per share until such time as our common stock is quoted on the OTCQB or another public trading market for our common stock otherwise develops. At and after such time, the selling stockholders may sell all or a portion of their shares through public or private transactions at prevailing market prices or at privately negotiated prices. The fixed price of $4.00 at which the selling stockholders may sell their shares pursuant to this prospectus was determined based upon the purchase price per share of common stock in the Private Placement in July through October 2023. The Sale Price was negotiated between our current management and predecessors based on, among other things, valuation ascribed to Serve in the last round of financing prior to the Private Placement, the stage of development of our business, our business plans for the future and the extent to which they have been implemented, an assessment of our management, the general conditions of the securities markets and such other factors as were deemed relevant. The Sale Price does not necessarily bear any relationship to our Company’s asset value, net worth, revenues or other established criteria of value, and should not be considered indicative of the actual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included a fixed price at which selling stockholders may sell their shares pursuant to this prospectus prior to the time there is a public market for our stock in order to comply with the rules of the SEC that require that, if there is no market for the shares being registered, this registration statement must include a price at which the shares may be sold. Except to the extent that we are involved in an underwritten secondary offering of common stock, if any, by the selling stockholders, all shares being offered pursuant to this prospectus will be sold by the selling stockholders without our involvement.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r_017"/>
      <w:bookmarkEnd w:id="18"/>
      <w:r>
        <w:rPr>
          <w:rFonts w:ascii="Times New Roman;Times;Serif" w:hAnsi="Times New Roman;Times;Serif"/>
          <w:b/>
          <w:i w:val="false"/>
          <w:caps/>
          <w:sz w:val="20"/>
        </w:rPr>
        <w:t>MARKET INFORMATION FOR OUR COMMON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listed on a national securities exchange, an over-the-counter market or any other exchange. Therefore, there is no trading market, active or otherwise, for our common stock and our common stock may never be included for trading on any stock exchange, automated quotation system or any over-the-counter market. In connection with this offering, we intend to arrange for a registered broker-dealer to apply to have the common stock quoted on the OTCQB or another over-the-counter system; however, we cannot assure you that the common stock will become eligible for trading on the OTCQB or any other over-the-counter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17, 2023, we have 24,832,814 shares of common stock outstanding held by approximately 229 stockholders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r_018"/>
      <w:bookmarkEnd w:id="19"/>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November 17, following the closing of the Merger and the Private Placement, by:</w:t>
      </w:r>
    </w:p>
    <w:p>
      <w:pPr>
        <w:pStyle w:val="TextBody"/>
        <w:bidi w:val="0"/>
        <w:spacing w:before="0" w:after="0"/>
        <w:ind w:left="0" w:right="0" w:hanging="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of our named executive officers;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775"/>
        <w:gridCol w:w="9257"/>
      </w:tblGrid>
      <w:tr>
        <w:trPr/>
        <w:tc>
          <w:tcPr>
            <w:tcW w:w="1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pPr>
            <w:r>
              <w:rPr/>
              <w:t>●</w:t>
            </w:r>
          </w:p>
        </w:tc>
        <w:tc>
          <w:tcPr>
            <w:tcW w:w="92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of our directors;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of our current directors and executive officers as a group; and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person, or group of affiliated persons, who beneficially owned more than 5% of our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shares beneficially owned is computed on the basis of 24,832,814 shares of common stock outstanding as of November 17, 2023, after giving effect to the Merger and the Private Placement. Shares of common stock that a person has the right to acquire within 60 days of November 17, 2023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the address of each beneficial owner in the table below is c/o Serve Robotics Inc., 730 Broadway, Redwood City, CA 94063.</w:t>
      </w:r>
    </w:p>
    <w:p>
      <w:pPr>
        <w:pStyle w:val="TextBody"/>
        <w:bidi w:val="0"/>
        <w:spacing w:before="0" w:after="0"/>
        <w:ind w:left="0" w:right="0" w:hanging="0"/>
        <w:jc w:val="both"/>
        <w:rPr>
          <w:caps w:val="false"/>
          <w:smallCaps w:val="false"/>
        </w:rPr>
      </w:pPr>
      <w:r>
        <w:rPr>
          <w:caps w:val="false"/>
          <w:smallCaps w:val="false"/>
        </w:rPr>
        <w:t> </w:t>
      </w:r>
    </w:p>
    <w:tbl>
      <w:tblPr>
        <w:tblW w:w="8824" w:type="dxa"/>
        <w:jc w:val="left"/>
        <w:tblInd w:w="0" w:type="dxa"/>
        <w:tblLayout w:type="fixed"/>
        <w:tblCellMar>
          <w:top w:w="0" w:type="dxa"/>
          <w:left w:w="0" w:type="dxa"/>
          <w:bottom w:w="28" w:type="dxa"/>
          <w:right w:w="0" w:type="dxa"/>
        </w:tblCellMar>
      </w:tblPr>
      <w:tblGrid>
        <w:gridCol w:w="5825"/>
        <w:gridCol w:w="60"/>
        <w:gridCol w:w="68"/>
        <w:gridCol w:w="1122"/>
        <w:gridCol w:w="60"/>
        <w:gridCol w:w="60"/>
        <w:gridCol w:w="167"/>
        <w:gridCol w:w="1232"/>
        <w:gridCol w:w="230"/>
      </w:tblGrid>
      <w:tr>
        <w:trPr/>
        <w:tc>
          <w:tcPr>
            <w:tcW w:w="5825"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of</w:t>
              <w:br/>
              <w:t>Common</w:t>
              <w:br/>
              <w:t>Stock</w:t>
              <w:br/>
              <w:t>Beneficially</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w:t>
              <w:br/>
              <w:t>Common</w:t>
              <w:br/>
              <w:t>Stock</w:t>
              <w:br/>
              <w:t>Beneficially</w:t>
              <w:br/>
              <w:t>Owned</w:t>
            </w:r>
          </w:p>
        </w:tc>
        <w:tc>
          <w:tcPr>
            <w:tcW w:w="230" w:type="dxa"/>
            <w:tcBorders/>
            <w:tcMar>
              <w:bottom w:w="0" w:type="dxa"/>
            </w:tcMar>
            <w:vAlign w:val="center"/>
          </w:tcPr>
          <w:p>
            <w:pPr>
              <w:pStyle w:val="TableContents"/>
              <w:bidi w:val="0"/>
              <w:spacing w:before="0" w:after="283"/>
              <w:jc w:val="left"/>
              <w:rPr/>
            </w:pPr>
            <w:r>
              <w:rPr/>
              <w:t> </w:t>
            </w:r>
          </w:p>
        </w:tc>
      </w:tr>
      <w:tr>
        <w:trPr/>
        <w:tc>
          <w:tcPr>
            <w:tcW w:w="582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 Stockholders</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tcMar>
              <w:bottom w:w="0" w:type="dxa"/>
            </w:tcMar>
            <w:vAlign w:val="center"/>
          </w:tcPr>
          <w:p>
            <w:pPr>
              <w:pStyle w:val="TableContents"/>
              <w:bidi w:val="0"/>
              <w:spacing w:before="0" w:after="283"/>
              <w:jc w:val="righ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Postmates, LLC</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3,963,808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NVIDIA</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2,676,904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 Entities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1,438,228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Tompkins</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1,843,750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Named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subject to voting proxy</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6,860,053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Touraj Parang</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Buckly Jordan</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809,936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Olivier Vincent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Pourdad</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Euan Abraham</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Sarfraz Maredia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directors and executive officers as a group (eight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7,999,704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55"/>
        <w:gridCol w:w="4655"/>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6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beneficial ownership of less than 1%.</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Postmates, LLC is the wholly-owned subsidiary of Uber Technologies Inc. The address of Uber Technologies Inc. is 1515 3rd Street, San Francisco, California 94158.</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305"/>
        <w:gridCol w:w="8450"/>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4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address of NVIDIA is 2788 San Tomas Expressway, Santa Clara, California 95051.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(i) 1,420,228 shares of common stock held by NEO 2.0, L.P. and (ii) 18,000 shares of Common stock held by NEO 2.0a, L.P. The general partner of each of NEO 2.0., L.P. and NEO 2.0a, L.P. is NEO GP 2.0, LLC. Ali Partovi is the Managing Director of NEO GP 2.0, LLC and has dispositive power over the shares of common stock controlled thereby. The address of NEO GP 2.0, LLC is 2121 S. El Camino Real, Ste 200, San Mateo, California 94403.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(i) 1,687,500 shares of common stock and (ii) 156,250 shares of common stock underlying the Bridge Warrants.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2,205,309 shares of common stock held directly by Ali Kashani, (ii) 16,070 shares of common stock held by Nikki Stoddart, the spouse of Dr. Kashani, (iii) 80,350 shares of common stock held by Salma Kashani, (iv) 8,035 shares of common stock held by Ali Sadeghi Hariri, (v) 1,562 shares underlying warrants to purchase common stock which are exercisable within 60 days of November 17, 2023, and (vi) 48,007 shares of common stock underlying options which are or will become exercisable within 60 days of November 17, 2023. Dr. Kashani shares control of the shares of common stock held by Ms. Stoddart. 1,187,394 shares of common stock held by Dr. Kashani are subject to a repurchase option held by the Company in the event that Dr. Kashani’s service with the Company is terminated.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shares of common stock held by holders of pre-Merger common stock over which Dr. Kashani holds an irrevocable proxy, pursuant to the agreements between the Company and such stockholders. The Company does not believe that the parties to these voting agreements constitute a “group” under Section 13 of the Securities Exchange Act of 1934, as amended, as Dr. Kashani exercises voting control over these shares. Dr. Kashani does not have dispositive control over these shares of common stock.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794,709 shares of Common stock held by Touraj Parang, (ii) 2,008 shares of common stock held by Armin Parang, Mr. Parang’s brother, (iii) 2,008 shares of common stock held by Payman Parang, Mr. Parang’s brother, (iv) 2,008 shares of common stock held by Shaghayegh Ahkami, Mr. Parang’s sister-in-law, (v) 2,008 shares of common stock held by Shahyar Ahkami, Mr. Parang’s brother-in-law, and (vi) 12,634 shares of common stock underlying options which are or will become exercisable within 60 days of November 17, 2023. Mr. Parang disclaims beneficial ownership of the shares of common stock held by Armin Parang, Payman Parang, Shaghayegh Ahkami and Shahyar Ahkami. 434,820 shares of common stock held by Mr. Parang are subject to a repurchase option held by the Company in the event that Mr. Parang’s service with the Company is terminated.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659,035 shares of common stock held by Wavemaker Global Select II, LLC, (ii) 9,200 shares held by Future VC, LLC, (iii) 77,291 shares of common stock held by Match Robotics VC, LLC and (iv) 64,410 shares of common stock underlying warrants to purchase common stock which are exercisable within 60 days of November 17, 2023. James Buckly Jordan is the Managing Partner of Wavemaker Global Select II, LLC and has dispositive power over the shares of common stock held thereby. Future VC, LLC and Match Robotics VC, LLC are controlled by James Buckly Jordan. The address of Wavemaker Global Select II, LLC is 1 Nanson road #03-00, Singapore 238909. The address for Future VC, LLC is 1438 9th St., Santa Monica, California 90401. The address for Match Robotics VC, LLC is 1134 11th Street, Suite 101, Santa Monica, California 90403.</w:t>
            </w:r>
          </w:p>
        </w:tc>
      </w:tr>
    </w:tbl>
    <w:p>
      <w:pPr>
        <w:pStyle w:val="TextBody"/>
        <w:bidi w:val="0"/>
        <w:spacing w:before="0" w:after="283"/>
        <w:jc w:val="left"/>
        <w:rPr/>
      </w:pPr>
      <w:r>
        <w:rPr/>
        <w:t> </w:t>
      </w:r>
    </w:p>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are held by Pourdad Capital Corp. over which Ali Pourdad has control.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162,170 options to purchase shares of common stock which are or will become exercisable within 60 days of November 17, 2023.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20" w:name="r_019"/>
      <w:bookmarkEnd w:id="20"/>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by the selling stockholders identified below of 18,960,989 shares of common stock. The selling stockholders acquired our securities in connection with the Merger and the Private Placement, or were pre-Merger stockholders of our predecessor, Patricia Acquisition Corp. The registration of the common stock of the selling stockholders through this prospectus constitutes a secondary offering and is not an offering by or on behalf of the Company. We will not receive any proceeds from the resale of the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footnotes below, none of the selling stockholders has been an officer or director of ours or any of our predecessors or affiliates within the past three years. Except as disclosed in the footnotes below, no selling stockholder had a material relationship with the company or any of its affiliates within the last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the accompanying footnotes are based in part on information supplied to us by the selling stockholders. The table and footnotes assume that the selling stockholders will sell all of the shares listed. However, because the selling stockholders may sell all or some of their shares under this prospectus from time to time, or in another permitted manner, we cannot assure you as to the actual number of shares that will be sold by the selling stockholders or that will be held by the selling stockholders after completion of any sales. We do not know how long the selling stockholders will hold the shares before selling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any shares in this table does not constitute an admission of beneficial ownership by the persons named below. Unless otherwise indicated, based on the information supplied to us by or on behalf of the selling stockholders, no selling stockholder is a broker-dealer or an affiliate of a broker-dealer.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35"/>
        <w:gridCol w:w="60"/>
        <w:gridCol w:w="88"/>
        <w:gridCol w:w="1473"/>
        <w:gridCol w:w="60"/>
        <w:gridCol w:w="60"/>
        <w:gridCol w:w="80"/>
        <w:gridCol w:w="1325"/>
        <w:gridCol w:w="348"/>
        <w:gridCol w:w="60"/>
        <w:gridCol w:w="1716"/>
      </w:tblGrid>
      <w:tr>
        <w:trPr/>
        <w:tc>
          <w:tcPr>
            <w:tcW w:w="4935" w:type="dxa"/>
            <w:tcBorders>
              <w:bottom w:val="single" w:sz="12" w:space="0" w:color="000000"/>
            </w:tcBorders>
            <w:vAlign w:val="center"/>
          </w:tcPr>
          <w:p>
            <w:pPr>
              <w:pStyle w:val="TableContents"/>
              <w:bidi w:val="0"/>
              <w:spacing w:before="0" w:after="283"/>
              <w:jc w:val="left"/>
              <w:rPr>
                <w:b/>
              </w:rPr>
            </w:pPr>
            <w:r>
              <w:rPr>
                <w:b/>
              </w:rPr>
              <w:t>Name of Selling Stockholders</w:t>
            </w:r>
          </w:p>
        </w:tc>
        <w:tc>
          <w:tcPr>
            <w:tcW w:w="60" w:type="dxa"/>
            <w:tcBorders/>
            <w:tcMar>
              <w:bottom w:w="0" w:type="dxa"/>
            </w:tcMar>
            <w:vAlign w:val="center"/>
          </w:tcPr>
          <w:p>
            <w:pPr>
              <w:pStyle w:val="TableContents"/>
              <w:bidi w:val="0"/>
              <w:spacing w:before="0" w:after="283"/>
              <w:jc w:val="left"/>
              <w:rPr/>
            </w:pPr>
            <w:r>
              <w:rPr/>
              <w:t> </w:t>
            </w:r>
          </w:p>
        </w:tc>
        <w:tc>
          <w:tcPr>
            <w:tcW w:w="1561" w:type="dxa"/>
            <w:gridSpan w:val="2"/>
            <w:tcBorders>
              <w:bottom w:val="single" w:sz="12" w:space="0" w:color="000000"/>
            </w:tcBorders>
            <w:vAlign w:val="center"/>
          </w:tcPr>
          <w:p>
            <w:pPr>
              <w:pStyle w:val="TableContents"/>
              <w:bidi w:val="0"/>
              <w:spacing w:before="0" w:after="283"/>
              <w:jc w:val="center"/>
              <w:rPr>
                <w:b/>
              </w:rPr>
            </w:pPr>
            <w:r>
              <w:rPr>
                <w:b/>
              </w:rPr>
              <w:t xml:space="preserve">Shares Owned </w:t>
              <w:br/>
              <w:t xml:space="preserve">Before the </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5" w:type="dxa"/>
            <w:gridSpan w:val="2"/>
            <w:tcBorders>
              <w:bottom w:val="single" w:sz="12" w:space="0" w:color="000000"/>
            </w:tcBorders>
            <w:vAlign w:val="center"/>
          </w:tcPr>
          <w:p>
            <w:pPr>
              <w:pStyle w:val="TableContents"/>
              <w:bidi w:val="0"/>
              <w:spacing w:before="0" w:after="283"/>
              <w:jc w:val="center"/>
              <w:rPr>
                <w:b/>
              </w:rPr>
            </w:pPr>
            <w:r>
              <w:rPr>
                <w:b/>
              </w:rPr>
              <w:t xml:space="preserve">Shares Being </w:t>
              <w:br/>
              <w:t>Offered</w:t>
            </w:r>
            <w:r>
              <w:rPr>
                <w:b/>
                <w:position w:val="8"/>
                <w:sz w:val="19"/>
              </w:rPr>
              <w:t>(1)(2)</w:t>
            </w:r>
          </w:p>
        </w:tc>
        <w:tc>
          <w:tcPr>
            <w:tcW w:w="3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6" w:type="dxa"/>
            <w:tcBorders>
              <w:bottom w:val="single" w:sz="12" w:space="0" w:color="000000"/>
            </w:tcBorders>
            <w:vAlign w:val="center"/>
          </w:tcPr>
          <w:p>
            <w:pPr>
              <w:pStyle w:val="TableContents"/>
              <w:bidi w:val="0"/>
              <w:spacing w:before="0" w:after="283"/>
              <w:jc w:val="center"/>
              <w:rPr>
                <w:b/>
              </w:rPr>
            </w:pPr>
            <w:r>
              <w:rPr>
                <w:b/>
              </w:rPr>
              <w:t>Shares Owned</w:t>
              <w:br/>
              <w:t>After the</w:t>
              <w:br/>
              <w:t>Offering(%)</w:t>
            </w:r>
            <w:r>
              <w:rPr>
                <w:b/>
                <w:position w:val="8"/>
                <w:sz w:val="19"/>
              </w:rPr>
              <w:t>(1)(2)</w:t>
            </w:r>
          </w:p>
        </w:tc>
      </w:tr>
      <w:tr>
        <w:trPr/>
        <w:tc>
          <w:tcPr>
            <w:tcW w:w="4935" w:type="dxa"/>
            <w:tcBorders/>
            <w:shd w:fill="CCEEFF" w:val="clear"/>
            <w:tcMar>
              <w:bottom w:w="0" w:type="dxa"/>
            </w:tcMar>
            <w:vAlign w:val="center"/>
          </w:tcPr>
          <w:p>
            <w:pPr>
              <w:pStyle w:val="TableContents"/>
              <w:bidi w:val="0"/>
              <w:spacing w:before="0" w:after="283"/>
              <w:jc w:val="left"/>
              <w:rPr/>
            </w:pPr>
            <w:r>
              <w:rPr/>
              <w:t>1161544 B.C.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4,195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4,195</w:t>
            </w:r>
          </w:p>
        </w:tc>
        <w:tc>
          <w:tcPr>
            <w:tcW w:w="3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7-Ventures,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357,836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357,836</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Abundium, S.L.U.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50,000</w:t>
            </w:r>
          </w:p>
        </w:tc>
        <w:tc>
          <w:tcPr>
            <w:tcW w:w="3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Adolfo Carmona &amp; Donna Carmona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25,000</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Aegis Capital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214,349</w:t>
            </w:r>
          </w:p>
        </w:tc>
        <w:tc>
          <w:tcPr>
            <w:tcW w:w="34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Aegis Delivers Opportunity Fund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1,116,886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1,116,886</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Akita Partners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14,062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17,968</w:t>
            </w:r>
          </w:p>
        </w:tc>
        <w:tc>
          <w:tcPr>
            <w:tcW w:w="34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Akshay Thakor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9,200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9,200</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Ali Kashani</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59,965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61,527</w:t>
            </w:r>
          </w:p>
        </w:tc>
        <w:tc>
          <w:tcPr>
            <w:tcW w:w="34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Alireza Tahmasebzadeh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1,562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2,343</w:t>
            </w:r>
          </w:p>
        </w:tc>
        <w:tc>
          <w:tcPr>
            <w:tcW w:w="34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Amanda Rose Saccomanno</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7,812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11,718</w:t>
            </w:r>
          </w:p>
        </w:tc>
        <w:tc>
          <w:tcPr>
            <w:tcW w:w="34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Amirali Aliabadi</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16,327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16,327</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Andrew Przybylski</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1,840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1,840</w:t>
            </w:r>
          </w:p>
        </w:tc>
        <w:tc>
          <w:tcPr>
            <w:tcW w:w="3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Andrew Smukler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7,812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11,718</w:t>
            </w:r>
          </w:p>
        </w:tc>
        <w:tc>
          <w:tcPr>
            <w:tcW w:w="34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Anik Guha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920</w:t>
            </w:r>
          </w:p>
        </w:tc>
        <w:tc>
          <w:tcPr>
            <w:tcW w:w="3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Anthony Armenta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25,000</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Arash Fasihi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28,839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28,839</w:t>
            </w:r>
          </w:p>
        </w:tc>
        <w:tc>
          <w:tcPr>
            <w:tcW w:w="3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Arjoch Holding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12,750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12,750</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Armenta 2012 Revocable Trust Dated July 13,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3,680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3,680</w:t>
            </w:r>
          </w:p>
        </w:tc>
        <w:tc>
          <w:tcPr>
            <w:tcW w:w="3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Atul Sood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5,152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5,152</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Barry Shemaria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10,937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16,405</w:t>
            </w:r>
          </w:p>
        </w:tc>
        <w:tc>
          <w:tcPr>
            <w:tcW w:w="34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Bastian Lehmann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55,207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55,207</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Ben Bear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5,501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5,501</w:t>
            </w:r>
          </w:p>
        </w:tc>
        <w:tc>
          <w:tcPr>
            <w:tcW w:w="3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Benny Wing Fei Wong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4,600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4,600</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r>
        <w:trPr/>
        <w:tc>
          <w:tcPr>
            <w:tcW w:w="4935" w:type="dxa"/>
            <w:tcBorders/>
            <w:shd w:fill="CCEEFF" w:val="clear"/>
            <w:tcMar>
              <w:bottom w:w="0" w:type="dxa"/>
            </w:tcMar>
            <w:vAlign w:val="center"/>
          </w:tcPr>
          <w:p>
            <w:pPr>
              <w:pStyle w:val="TableContents"/>
              <w:bidi w:val="0"/>
              <w:spacing w:before="0" w:after="283"/>
              <w:jc w:val="left"/>
              <w:rPr/>
            </w:pPr>
            <w:r>
              <w:rPr/>
              <w:t>Bikram Dang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7,728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7,728</w:t>
            </w:r>
          </w:p>
        </w:tc>
        <w:tc>
          <w:tcPr>
            <w:tcW w:w="3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center"/>
              <w:rPr/>
            </w:pPr>
            <w:r>
              <w:rPr/>
              <w:t>*</w:t>
            </w:r>
          </w:p>
        </w:tc>
      </w:tr>
      <w:tr>
        <w:trPr/>
        <w:tc>
          <w:tcPr>
            <w:tcW w:w="4935" w:type="dxa"/>
            <w:tcBorders/>
            <w:shd w:fill="FFFFFF" w:val="clear"/>
            <w:tcMar>
              <w:bottom w:w="0" w:type="dxa"/>
            </w:tcMar>
            <w:vAlign w:val="center"/>
          </w:tcPr>
          <w:p>
            <w:pPr>
              <w:pStyle w:val="TableContents"/>
              <w:bidi w:val="0"/>
              <w:spacing w:before="0" w:after="283"/>
              <w:jc w:val="left"/>
              <w:rPr/>
            </w:pPr>
            <w:r>
              <w:rPr/>
              <w:t>Brian Fischhoff and Andrea Fischhoff</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6,250</w:t>
            </w:r>
          </w:p>
        </w:tc>
        <w:tc>
          <w:tcPr>
            <w:tcW w:w="3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6" w:type="dxa"/>
            <w:tcBorders/>
            <w:shd w:fill="FFFFFF" w:val="clear"/>
            <w:tcMar>
              <w:bottom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5086"/>
        <w:gridCol w:w="60"/>
        <w:gridCol w:w="108"/>
        <w:gridCol w:w="1444"/>
        <w:gridCol w:w="60"/>
        <w:gridCol w:w="60"/>
        <w:gridCol w:w="97"/>
        <w:gridCol w:w="1305"/>
        <w:gridCol w:w="338"/>
        <w:gridCol w:w="60"/>
        <w:gridCol w:w="1587"/>
      </w:tblGrid>
      <w:tr>
        <w:trPr/>
        <w:tc>
          <w:tcPr>
            <w:tcW w:w="5086" w:type="dxa"/>
            <w:tcBorders>
              <w:bottom w:val="single" w:sz="12" w:space="0" w:color="000000"/>
            </w:tcBorders>
            <w:vAlign w:val="center"/>
          </w:tcPr>
          <w:p>
            <w:pPr>
              <w:pStyle w:val="TableContents"/>
              <w:bidi w:val="0"/>
              <w:spacing w:before="0" w:after="283"/>
              <w:jc w:val="left"/>
              <w:rPr>
                <w:b/>
              </w:rPr>
            </w:pPr>
            <w:r>
              <w:rPr>
                <w:b/>
              </w:rPr>
              <w:t>Name of Selling Stockholders</w:t>
            </w:r>
          </w:p>
        </w:tc>
        <w:tc>
          <w:tcPr>
            <w:tcW w:w="60" w:type="dxa"/>
            <w:tcBorders/>
            <w:tcMar>
              <w:bottom w:w="0" w:type="dxa"/>
            </w:tcMar>
            <w:vAlign w:val="center"/>
          </w:tcPr>
          <w:p>
            <w:pPr>
              <w:pStyle w:val="TableContents"/>
              <w:bidi w:val="0"/>
              <w:spacing w:before="0" w:after="283"/>
              <w:jc w:val="left"/>
              <w:rPr/>
            </w:pPr>
            <w:r>
              <w:rPr/>
              <w:t> </w:t>
            </w:r>
          </w:p>
        </w:tc>
        <w:tc>
          <w:tcPr>
            <w:tcW w:w="1552" w:type="dxa"/>
            <w:gridSpan w:val="2"/>
            <w:tcBorders>
              <w:bottom w:val="single" w:sz="12" w:space="0" w:color="000000"/>
            </w:tcBorders>
            <w:vAlign w:val="center"/>
          </w:tcPr>
          <w:p>
            <w:pPr>
              <w:pStyle w:val="TableContents"/>
              <w:bidi w:val="0"/>
              <w:spacing w:before="0" w:after="283"/>
              <w:jc w:val="center"/>
              <w:rPr>
                <w:b/>
              </w:rPr>
            </w:pPr>
            <w:r>
              <w:rPr>
                <w:b/>
              </w:rPr>
              <w:t xml:space="preserve">Shares Owned </w:t>
              <w:br/>
              <w:t>Before the</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2" w:type="dxa"/>
            <w:gridSpan w:val="2"/>
            <w:tcBorders>
              <w:bottom w:val="single" w:sz="12" w:space="0" w:color="000000"/>
            </w:tcBorders>
            <w:vAlign w:val="center"/>
          </w:tcPr>
          <w:p>
            <w:pPr>
              <w:pStyle w:val="TableContents"/>
              <w:bidi w:val="0"/>
              <w:spacing w:before="0" w:after="283"/>
              <w:jc w:val="center"/>
              <w:rPr>
                <w:b/>
              </w:rPr>
            </w:pPr>
            <w:r>
              <w:rPr>
                <w:b/>
              </w:rPr>
              <w:t xml:space="preserve">Shares Being </w:t>
              <w:br/>
              <w:t>Offered</w:t>
            </w:r>
            <w:r>
              <w:rPr>
                <w:b/>
                <w:position w:val="8"/>
                <w:sz w:val="19"/>
              </w:rPr>
              <w:t>(1)(2)</w:t>
            </w:r>
          </w:p>
        </w:tc>
        <w:tc>
          <w:tcPr>
            <w:tcW w:w="3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7" w:type="dxa"/>
            <w:tcBorders>
              <w:bottom w:val="single" w:sz="12" w:space="0" w:color="000000"/>
            </w:tcBorders>
            <w:vAlign w:val="center"/>
          </w:tcPr>
          <w:p>
            <w:pPr>
              <w:pStyle w:val="TableContents"/>
              <w:bidi w:val="0"/>
              <w:spacing w:before="0" w:after="283"/>
              <w:jc w:val="center"/>
              <w:rPr>
                <w:b/>
              </w:rPr>
            </w:pPr>
            <w:r>
              <w:rPr>
                <w:b/>
              </w:rPr>
              <w:t>Shares Owned</w:t>
              <w:br/>
              <w:t>After the</w:t>
              <w:br/>
              <w:t>Offering(%)</w:t>
            </w:r>
            <w:r>
              <w:rPr>
                <w:b/>
                <w:position w:val="8"/>
                <w:sz w:val="19"/>
              </w:rPr>
              <w:t>(1)(2)</w:t>
            </w:r>
          </w:p>
        </w:tc>
      </w:tr>
      <w:tr>
        <w:trPr/>
        <w:tc>
          <w:tcPr>
            <w:tcW w:w="5086" w:type="dxa"/>
            <w:tcBorders/>
            <w:shd w:fill="CCEEFF" w:val="clear"/>
            <w:tcMar>
              <w:bottom w:w="0" w:type="dxa"/>
            </w:tcMar>
            <w:vAlign w:val="center"/>
          </w:tcPr>
          <w:p>
            <w:pPr>
              <w:pStyle w:val="TableContents"/>
              <w:bidi w:val="0"/>
              <w:spacing w:before="0" w:after="283"/>
              <w:jc w:val="left"/>
              <w:rPr/>
            </w:pPr>
            <w:r>
              <w:rPr/>
              <w:t>Brian M. Kandel - Individual 401K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10,000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Bruce D. Singleton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15,625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23,437</w:t>
            </w:r>
          </w:p>
        </w:tc>
        <w:tc>
          <w:tcPr>
            <w:tcW w:w="33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Bruce H. Seyburn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8,750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Bruce Haverberg and Donna Haverberg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12,500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Carlos de Serpa Pimentel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15,625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23,437</w:t>
            </w:r>
          </w:p>
        </w:tc>
        <w:tc>
          <w:tcPr>
            <w:tcW w:w="33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Carroll, Michael &amp; Carroll, Sheila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21,875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32,812</w:t>
            </w:r>
          </w:p>
        </w:tc>
        <w:tc>
          <w:tcPr>
            <w:tcW w:w="33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Casimir S. Skrzypczak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6,250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Christian Felipe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25,000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Christiane Collin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38,645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38,645</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Christopher McGowan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6,250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Christopher Washburn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6,250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Clay Lebhar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6,250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Conconi FT Holdings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31,172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31,172</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Coughdrop Capital Fund II, a series of Coughdrop Capital,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6,440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6,440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Craig H. Unger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3,125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4,687</w:t>
            </w:r>
          </w:p>
        </w:tc>
        <w:tc>
          <w:tcPr>
            <w:tcW w:w="33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David Landskowsky+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72,044</w:t>
            </w:r>
          </w:p>
        </w:tc>
        <w:tc>
          <w:tcPr>
            <w:tcW w:w="33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Deccan Pacific Ventures,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6,250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Delivery Hero Ventures GmbH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354,325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354,325</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DeLoach LS Investments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25,000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Derrick Ko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4,600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4,600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DiBenedetto Holdings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12,500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Dipanshu Sharma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6,250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Division Street Investment Club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3,750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3,750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Doug Wertheimer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25,000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Dr. Joshua J Gooden &amp; Janeen Gooden JTWROS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9,375</w:t>
            </w:r>
          </w:p>
        </w:tc>
        <w:tc>
          <w:tcPr>
            <w:tcW w:w="33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Dr. Mariusz J. Klin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4,687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7,030</w:t>
            </w:r>
          </w:p>
        </w:tc>
        <w:tc>
          <w:tcPr>
            <w:tcW w:w="33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Edward P. Swyer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12,500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Elicia W. David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6,250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Emre Schveighoffer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6,250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Eric Rubenstein+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72,045</w:t>
            </w:r>
          </w:p>
        </w:tc>
        <w:tc>
          <w:tcPr>
            <w:tcW w:w="33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Eric S. Mischel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6,250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Ernest W. Moody Revocable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31,250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46,875</w:t>
            </w:r>
          </w:p>
        </w:tc>
        <w:tc>
          <w:tcPr>
            <w:tcW w:w="33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Finvasco Capital Management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51,527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51,527</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Foundry Square Investors - XXI,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7,360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7,360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Fund I, a series of Great Circle Venture,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14,169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14,169</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Future VC, LLC</w:t>
            </w: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9,200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9,200</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Garnex, S.L.U.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50,000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George A. Parmer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15,625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23,437</w:t>
            </w:r>
          </w:p>
        </w:tc>
        <w:tc>
          <w:tcPr>
            <w:tcW w:w="33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Gloria Lynn Roth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9,375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14,062</w:t>
            </w:r>
          </w:p>
        </w:tc>
        <w:tc>
          <w:tcPr>
            <w:tcW w:w="33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Good AI Capital Fund 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46,925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46,925</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t>Goodwin Family Partnership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t>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right"/>
              <w:rPr/>
            </w:pPr>
            <w:r>
              <w:rPr/>
              <w:t>6,250</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7" w:type="dxa"/>
            <w:tcBorders/>
            <w:shd w:fill="CCEEFF" w:val="clear"/>
            <w:tcMar>
              <w:bottom w:w="0" w:type="dxa"/>
            </w:tcMar>
            <w:vAlign w:val="center"/>
          </w:tcPr>
          <w:p>
            <w:pPr>
              <w:pStyle w:val="TableContents"/>
              <w:bidi w:val="0"/>
              <w:spacing w:before="0" w:after="283"/>
              <w:jc w:val="center"/>
              <w:rPr/>
            </w:pPr>
            <w:r>
              <w:rPr/>
              <w:t>*</w:t>
            </w:r>
          </w:p>
        </w:tc>
      </w:tr>
      <w:tr>
        <w:trPr/>
        <w:tc>
          <w:tcPr>
            <w:tcW w:w="5086" w:type="dxa"/>
            <w:tcBorders/>
            <w:shd w:fill="FFFFFF" w:val="clear"/>
            <w:tcMar>
              <w:bottom w:w="0" w:type="dxa"/>
            </w:tcMar>
            <w:vAlign w:val="center"/>
          </w:tcPr>
          <w:p>
            <w:pPr>
              <w:pStyle w:val="TableContents"/>
              <w:bidi w:val="0"/>
              <w:spacing w:before="0" w:after="283"/>
              <w:jc w:val="left"/>
              <w:rPr/>
            </w:pPr>
            <w:r>
              <w:rPr/>
              <w:t>Graph Ventures 6,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36,805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right"/>
              <w:rPr/>
            </w:pPr>
            <w:r>
              <w:rPr/>
              <w:t>36,805</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7" w:type="dxa"/>
            <w:tcBorders/>
            <w:shd w:fill="FFFFFF" w:val="clear"/>
            <w:tcMar>
              <w:bottom w:w="0" w:type="dxa"/>
            </w:tcMar>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5007"/>
        <w:gridCol w:w="60"/>
        <w:gridCol w:w="88"/>
        <w:gridCol w:w="1460"/>
        <w:gridCol w:w="60"/>
        <w:gridCol w:w="60"/>
        <w:gridCol w:w="80"/>
        <w:gridCol w:w="1318"/>
        <w:gridCol w:w="334"/>
        <w:gridCol w:w="60"/>
        <w:gridCol w:w="1678"/>
      </w:tblGrid>
      <w:tr>
        <w:trPr/>
        <w:tc>
          <w:tcPr>
            <w:tcW w:w="5007" w:type="dxa"/>
            <w:tcBorders>
              <w:bottom w:val="single" w:sz="12" w:space="0" w:color="000000"/>
            </w:tcBorders>
            <w:vAlign w:val="center"/>
          </w:tcPr>
          <w:p>
            <w:pPr>
              <w:pStyle w:val="TableContents"/>
              <w:bidi w:val="0"/>
              <w:spacing w:before="0" w:after="283"/>
              <w:jc w:val="left"/>
              <w:rPr>
                <w:b/>
              </w:rPr>
            </w:pPr>
            <w:r>
              <w:rPr>
                <w:b/>
              </w:rPr>
              <w:t>Name of Selling Stockholders</w:t>
            </w:r>
          </w:p>
        </w:tc>
        <w:tc>
          <w:tcPr>
            <w:tcW w:w="60" w:type="dxa"/>
            <w:tcBorders/>
            <w:tcMar>
              <w:bottom w:w="0" w:type="dxa"/>
            </w:tcMar>
            <w:vAlign w:val="center"/>
          </w:tcPr>
          <w:p>
            <w:pPr>
              <w:pStyle w:val="TableContents"/>
              <w:bidi w:val="0"/>
              <w:spacing w:before="0" w:after="283"/>
              <w:jc w:val="left"/>
              <w:rPr/>
            </w:pPr>
            <w:r>
              <w:rPr/>
              <w:t> </w:t>
            </w:r>
          </w:p>
        </w:tc>
        <w:tc>
          <w:tcPr>
            <w:tcW w:w="1548" w:type="dxa"/>
            <w:gridSpan w:val="2"/>
            <w:tcBorders>
              <w:bottom w:val="single" w:sz="12" w:space="0" w:color="000000"/>
            </w:tcBorders>
            <w:vAlign w:val="center"/>
          </w:tcPr>
          <w:p>
            <w:pPr>
              <w:pStyle w:val="TableContents"/>
              <w:bidi w:val="0"/>
              <w:spacing w:before="0" w:after="283"/>
              <w:jc w:val="center"/>
              <w:rPr>
                <w:b/>
              </w:rPr>
            </w:pPr>
            <w:r>
              <w:rPr>
                <w:b/>
              </w:rPr>
              <w:t xml:space="preserve">Shares Owned </w:t>
              <w:br/>
              <w:t xml:space="preserve">Before the </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8" w:type="dxa"/>
            <w:gridSpan w:val="2"/>
            <w:tcBorders>
              <w:bottom w:val="single" w:sz="12" w:space="0" w:color="000000"/>
            </w:tcBorders>
            <w:vAlign w:val="center"/>
          </w:tcPr>
          <w:p>
            <w:pPr>
              <w:pStyle w:val="TableContents"/>
              <w:bidi w:val="0"/>
              <w:spacing w:before="0" w:after="283"/>
              <w:jc w:val="center"/>
              <w:rPr>
                <w:b/>
              </w:rPr>
            </w:pPr>
            <w:r>
              <w:rPr>
                <w:b/>
              </w:rPr>
              <w:t xml:space="preserve">Shares Being </w:t>
              <w:br/>
              <w:t>Offered</w:t>
            </w:r>
            <w:r>
              <w:rPr>
                <w:b/>
                <w:position w:val="8"/>
                <w:sz w:val="19"/>
              </w:rPr>
              <w:t>(1)(2)</w:t>
            </w:r>
          </w:p>
        </w:tc>
        <w:tc>
          <w:tcPr>
            <w:tcW w:w="3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8" w:type="dxa"/>
            <w:tcBorders>
              <w:bottom w:val="single" w:sz="12" w:space="0" w:color="000000"/>
            </w:tcBorders>
            <w:vAlign w:val="center"/>
          </w:tcPr>
          <w:p>
            <w:pPr>
              <w:pStyle w:val="TableContents"/>
              <w:bidi w:val="0"/>
              <w:spacing w:before="0" w:after="283"/>
              <w:jc w:val="center"/>
              <w:rPr>
                <w:b/>
              </w:rPr>
            </w:pPr>
            <w:r>
              <w:rPr>
                <w:b/>
              </w:rPr>
              <w:t>Shares Owned</w:t>
              <w:br/>
              <w:t xml:space="preserve">After the </w:t>
              <w:br/>
              <w:t>Offering(%)</w:t>
            </w:r>
            <w:r>
              <w:rPr>
                <w:b/>
                <w:position w:val="8"/>
                <w:sz w:val="19"/>
              </w:rPr>
              <w:t>(1)(2)</w:t>
            </w:r>
          </w:p>
        </w:tc>
      </w:tr>
      <w:tr>
        <w:trPr/>
        <w:tc>
          <w:tcPr>
            <w:tcW w:w="5007" w:type="dxa"/>
            <w:tcBorders/>
            <w:shd w:fill="CCEEFF" w:val="clear"/>
            <w:tcMar>
              <w:bottom w:w="0" w:type="dxa"/>
            </w:tcMar>
            <w:vAlign w:val="center"/>
          </w:tcPr>
          <w:p>
            <w:pPr>
              <w:pStyle w:val="TableContents"/>
              <w:bidi w:val="0"/>
              <w:spacing w:before="0" w:after="283"/>
              <w:jc w:val="left"/>
              <w:rPr/>
            </w:pPr>
            <w:r>
              <w:rPr/>
              <w:t>Gubbay Investments,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7,500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HABD Investments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6,440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6,440</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HAND Capital,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104,894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104,894</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Hold It Right There Holdings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10,304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10,304</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Ian Jacobs</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125,000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Industrious Ventures 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128,819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128,819</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Jaffrael,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12,500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James Buckly Jordan</w:t>
            </w:r>
            <w:r>
              <w:rPr>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64,410</w:t>
            </w:r>
          </w:p>
        </w:tc>
        <w:tc>
          <w:tcPr>
            <w:tcW w:w="3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James H. Wiesenberg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7,500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James Kuhn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6,250</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James Robinson and Jennifer Robinson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12,500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James W. Lees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7,812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11,718</w:t>
            </w:r>
          </w:p>
        </w:tc>
        <w:tc>
          <w:tcPr>
            <w:tcW w:w="3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Jeffrey Shealy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46,875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70,312</w:t>
            </w:r>
          </w:p>
        </w:tc>
        <w:tc>
          <w:tcPr>
            <w:tcW w:w="3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JJW GST Irrevocable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26,186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26,186</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Joan L Bonanno TTE U/A DTD 12/05/2002 By Joan L Bonanno</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53,125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60,937</w:t>
            </w:r>
          </w:p>
        </w:tc>
        <w:tc>
          <w:tcPr>
            <w:tcW w:w="3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Joel A. Stone Irrevocable Credit Shelter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6,250</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John V. Wagner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23,281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29,921</w:t>
            </w:r>
          </w:p>
        </w:tc>
        <w:tc>
          <w:tcPr>
            <w:tcW w:w="3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Jose Fune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6,250</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Joseph A. Messah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7,812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11,718</w:t>
            </w:r>
          </w:p>
        </w:tc>
        <w:tc>
          <w:tcPr>
            <w:tcW w:w="3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Joseph O. Manzi</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21,875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29,687</w:t>
            </w:r>
          </w:p>
        </w:tc>
        <w:tc>
          <w:tcPr>
            <w:tcW w:w="3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Joshua and Dana Pollick Living Trust, dated March 30,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920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Joshua Schachter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9,200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9,200</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Kent Tucker Andersen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25,000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Khaled Naim</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6,546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6,546</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Kirby Frank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10,000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Laidlaw &amp; Company (UK)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37,350</w:t>
            </w:r>
          </w:p>
        </w:tc>
        <w:tc>
          <w:tcPr>
            <w:tcW w:w="3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Lawrence Altman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6,250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Lawrence M. Koresko</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6,250</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Ligi Investments, LLLP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25,000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Lily Sarafan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18,402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18,402</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LJ Ventures Fund II,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220,832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220,832</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Lora G. Shealy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46,875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70,312</w:t>
            </w:r>
          </w:p>
        </w:tc>
        <w:tc>
          <w:tcPr>
            <w:tcW w:w="3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Louis Buckworth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75,000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Mana Ventures, LP – C1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4,833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4,833</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Marc Greenberg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2,576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2,576</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Marc Zarraga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6,250</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Mark Tompkins</w:t>
            </w:r>
            <w:r>
              <w:rPr>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1,687,500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1,843,750</w:t>
            </w:r>
          </w:p>
        </w:tc>
        <w:tc>
          <w:tcPr>
            <w:tcW w:w="3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Match Robotics VC, LLC</w:t>
            </w:r>
            <w:r>
              <w:rPr>
                <w:position w:val="8"/>
                <w:sz w:val="19"/>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77,291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77,291</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Matthew B. Zarraga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12,500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Matthew G. Baebler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11,250</w:t>
            </w:r>
          </w:p>
        </w:tc>
        <w:tc>
          <w:tcPr>
            <w:tcW w:w="3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Matthew Simoncini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93,750</w:t>
            </w:r>
          </w:p>
        </w:tc>
        <w:tc>
          <w:tcPr>
            <w:tcW w:w="3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Michael M. Mainero</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6,250</w:t>
            </w:r>
          </w:p>
        </w:tc>
        <w:tc>
          <w:tcPr>
            <w:tcW w:w="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r>
        <w:trPr/>
        <w:tc>
          <w:tcPr>
            <w:tcW w:w="5007" w:type="dxa"/>
            <w:tcBorders/>
            <w:shd w:fill="CCEEFF" w:val="clear"/>
            <w:tcMar>
              <w:bottom w:w="0" w:type="dxa"/>
            </w:tcMar>
            <w:vAlign w:val="center"/>
          </w:tcPr>
          <w:p>
            <w:pPr>
              <w:pStyle w:val="TableContents"/>
              <w:bidi w:val="0"/>
              <w:spacing w:before="0" w:after="283"/>
              <w:jc w:val="left"/>
              <w:rPr/>
            </w:pPr>
            <w:r>
              <w:rPr/>
              <w:t>Michael O’Connell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12,500</w:t>
            </w:r>
          </w:p>
        </w:tc>
        <w:tc>
          <w:tcPr>
            <w:tcW w:w="3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center"/>
              <w:rPr/>
            </w:pPr>
            <w:r>
              <w:rPr/>
              <w:t>*</w:t>
            </w:r>
          </w:p>
        </w:tc>
      </w:tr>
      <w:tr>
        <w:trPr/>
        <w:tc>
          <w:tcPr>
            <w:tcW w:w="5007" w:type="dxa"/>
            <w:tcBorders/>
            <w:shd w:fill="FFFFFF" w:val="clear"/>
            <w:tcMar>
              <w:bottom w:w="0" w:type="dxa"/>
            </w:tcMar>
            <w:vAlign w:val="center"/>
          </w:tcPr>
          <w:p>
            <w:pPr>
              <w:pStyle w:val="TableContents"/>
              <w:bidi w:val="0"/>
              <w:spacing w:before="0" w:after="283"/>
              <w:jc w:val="left"/>
              <w:rPr/>
            </w:pPr>
            <w:r>
              <w:rPr/>
              <w:t>Miguel Zarraga+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2,100</w:t>
            </w:r>
          </w:p>
        </w:tc>
        <w:tc>
          <w:tcPr>
            <w:tcW w:w="3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5109"/>
        <w:gridCol w:w="60"/>
        <w:gridCol w:w="86"/>
        <w:gridCol w:w="1419"/>
        <w:gridCol w:w="60"/>
        <w:gridCol w:w="60"/>
        <w:gridCol w:w="79"/>
        <w:gridCol w:w="1308"/>
        <w:gridCol w:w="323"/>
        <w:gridCol w:w="60"/>
        <w:gridCol w:w="1641"/>
      </w:tblGrid>
      <w:tr>
        <w:trPr/>
        <w:tc>
          <w:tcPr>
            <w:tcW w:w="5109" w:type="dxa"/>
            <w:tcBorders>
              <w:bottom w:val="single" w:sz="12" w:space="0" w:color="000000"/>
            </w:tcBorders>
            <w:vAlign w:val="center"/>
          </w:tcPr>
          <w:p>
            <w:pPr>
              <w:pStyle w:val="TableContents"/>
              <w:bidi w:val="0"/>
              <w:spacing w:before="0" w:after="283"/>
              <w:jc w:val="left"/>
              <w:rPr>
                <w:b/>
              </w:rPr>
            </w:pPr>
            <w:r>
              <w:rPr>
                <w:b/>
              </w:rPr>
              <w:t>Name of Selling Stockholders</w:t>
            </w:r>
          </w:p>
        </w:tc>
        <w:tc>
          <w:tcPr>
            <w:tcW w:w="60" w:type="dxa"/>
            <w:tcBorders/>
            <w:tcMar>
              <w:bottom w:w="0" w:type="dxa"/>
            </w:tcMar>
            <w:vAlign w:val="center"/>
          </w:tcPr>
          <w:p>
            <w:pPr>
              <w:pStyle w:val="TableContents"/>
              <w:bidi w:val="0"/>
              <w:spacing w:before="0" w:after="283"/>
              <w:jc w:val="left"/>
              <w:rPr/>
            </w:pPr>
            <w:r>
              <w:rPr/>
              <w:t> </w:t>
            </w:r>
          </w:p>
        </w:tc>
        <w:tc>
          <w:tcPr>
            <w:tcW w:w="1505" w:type="dxa"/>
            <w:gridSpan w:val="2"/>
            <w:tcBorders>
              <w:bottom w:val="single" w:sz="12" w:space="0" w:color="000000"/>
            </w:tcBorders>
            <w:vAlign w:val="center"/>
          </w:tcPr>
          <w:p>
            <w:pPr>
              <w:pStyle w:val="TableContents"/>
              <w:bidi w:val="0"/>
              <w:spacing w:before="0" w:after="283"/>
              <w:jc w:val="center"/>
              <w:rPr>
                <w:b/>
              </w:rPr>
            </w:pPr>
            <w:r>
              <w:rPr>
                <w:b/>
              </w:rPr>
              <w:t>Shares Owned</w:t>
              <w:br/>
              <w:t>Before the</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7" w:type="dxa"/>
            <w:gridSpan w:val="2"/>
            <w:tcBorders>
              <w:bottom w:val="single" w:sz="12" w:space="0" w:color="000000"/>
            </w:tcBorders>
            <w:vAlign w:val="center"/>
          </w:tcPr>
          <w:p>
            <w:pPr>
              <w:pStyle w:val="TableContents"/>
              <w:bidi w:val="0"/>
              <w:spacing w:before="0" w:after="283"/>
              <w:jc w:val="center"/>
              <w:rPr>
                <w:b/>
              </w:rPr>
            </w:pPr>
            <w:r>
              <w:rPr>
                <w:b/>
              </w:rPr>
              <w:t xml:space="preserve">Shares Being </w:t>
              <w:br/>
              <w:t>Offered</w:t>
            </w:r>
            <w:r>
              <w:rPr>
                <w:b/>
                <w:position w:val="8"/>
                <w:sz w:val="19"/>
              </w:rPr>
              <w:t>(1)(2)</w:t>
            </w:r>
          </w:p>
        </w:tc>
        <w:tc>
          <w:tcPr>
            <w:tcW w:w="32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1" w:type="dxa"/>
            <w:tcBorders>
              <w:bottom w:val="single" w:sz="12" w:space="0" w:color="000000"/>
            </w:tcBorders>
            <w:vAlign w:val="center"/>
          </w:tcPr>
          <w:p>
            <w:pPr>
              <w:pStyle w:val="TableContents"/>
              <w:bidi w:val="0"/>
              <w:spacing w:before="0" w:after="283"/>
              <w:jc w:val="center"/>
              <w:rPr>
                <w:b/>
              </w:rPr>
            </w:pPr>
            <w:r>
              <w:rPr>
                <w:b/>
              </w:rPr>
              <w:t>Shares Owned</w:t>
              <w:br/>
              <w:t xml:space="preserve">After the </w:t>
              <w:br/>
              <w:t>Offering(%)</w:t>
            </w:r>
            <w:r>
              <w:rPr>
                <w:b/>
                <w:position w:val="8"/>
                <w:sz w:val="19"/>
              </w:rPr>
              <w:t>(1)(2)</w:t>
            </w:r>
          </w:p>
        </w:tc>
      </w:tr>
      <w:tr>
        <w:trPr/>
        <w:tc>
          <w:tcPr>
            <w:tcW w:w="5109" w:type="dxa"/>
            <w:tcBorders/>
            <w:shd w:fill="CCEEFF" w:val="clear"/>
            <w:tcMar>
              <w:bottom w:w="0" w:type="dxa"/>
            </w:tcMar>
            <w:vAlign w:val="center"/>
          </w:tcPr>
          <w:p>
            <w:pPr>
              <w:pStyle w:val="TableContents"/>
              <w:bidi w:val="0"/>
              <w:spacing w:before="0" w:after="283"/>
              <w:jc w:val="left"/>
              <w:rPr/>
            </w:pPr>
            <w:r>
              <w:rPr/>
              <w:t>Minacore Industrial Group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6,248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6,248</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Mojtaba Asgarian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2,998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2,998</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MP Stewart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31,250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46,875</w:t>
            </w:r>
          </w:p>
        </w:tc>
        <w:tc>
          <w:tcPr>
            <w:tcW w:w="32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NEO 2.0, L.P.</w:t>
            </w:r>
            <w:r>
              <w:rPr>
                <w:position w:val="8"/>
                <w:sz w:val="19"/>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1,420,228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1,420,228</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NEO 2.0a, L.P.</w:t>
            </w:r>
            <w:r>
              <w:rPr>
                <w:position w:val="8"/>
                <w:sz w:val="19"/>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18,000</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1 Financial Securities,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14,739</w:t>
            </w:r>
          </w:p>
        </w:tc>
        <w:tc>
          <w:tcPr>
            <w:tcW w:w="323"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Nicholas P. McGovern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15,625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23,437</w:t>
            </w:r>
          </w:p>
        </w:tc>
        <w:tc>
          <w:tcPr>
            <w:tcW w:w="32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Nicolas Barrett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12,500</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Northlea Partners LLLP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6,250</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NVIDIA Corporation</w:t>
            </w:r>
            <w:r>
              <w:rPr>
                <w:position w:val="8"/>
                <w:sz w:val="19"/>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2,676,904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2,676,904</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Olivier Vincent</w:t>
            </w:r>
            <w:r>
              <w:rPr>
                <w:position w:val="8"/>
                <w:sz w:val="19"/>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9,928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9,928</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One Planet VC,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91,651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91,651</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Pacific Premier Trust Custodian FBO Arash Afrakhtah Roth IRA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18,402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18,402</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PACIFIC PREMIER TRUST CUSTODIAN FBO ARASH AFRAKHTEH IRA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13,093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13,093</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Paul J. Van Der Merwe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15,625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23,437</w:t>
            </w:r>
          </w:p>
        </w:tc>
        <w:tc>
          <w:tcPr>
            <w:tcW w:w="32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Philip M. Cannella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6,250</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Plamen Alendarov</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25,000</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Postmates, LLC</w:t>
            </w:r>
            <w:r>
              <w:rPr>
                <w:position w:val="8"/>
                <w:sz w:val="19"/>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3,963,808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3,963,808</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Pourdad Capital Corp., a Bahamas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31,283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31,283</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Raana Kashani Gregg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3,680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3,680</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Raymond J Bonanno TTE U/A DTD 12/05/2002 By Raymond J Bonanno</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53,125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60,937</w:t>
            </w:r>
          </w:p>
        </w:tc>
        <w:tc>
          <w:tcPr>
            <w:tcW w:w="32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Reza Karimi</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22,500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22,500</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Richard &amp; Mary Leslie Kingston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7,812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11,718</w:t>
            </w:r>
          </w:p>
        </w:tc>
        <w:tc>
          <w:tcPr>
            <w:tcW w:w="32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Richard David IRA Axos Clearing Custodian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12,500</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Richard Molinsky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7,812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11,718</w:t>
            </w:r>
          </w:p>
        </w:tc>
        <w:tc>
          <w:tcPr>
            <w:tcW w:w="32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Robert Caione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15,625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23,437</w:t>
            </w:r>
          </w:p>
        </w:tc>
        <w:tc>
          <w:tcPr>
            <w:tcW w:w="323"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Robert John Busch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10,000</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Robert Swikart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12,500</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Robert Viggiano and Angela Viggiano</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12,750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12,750</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Roberto Mendez &amp; Eliana Cardenas JTWROS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7,812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11,718</w:t>
            </w:r>
          </w:p>
        </w:tc>
        <w:tc>
          <w:tcPr>
            <w:tcW w:w="323"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Ronald Nash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25,000</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Russell and Lindsay Cook Revocable Trust u/d/t 11/19/2018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38,645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38,645</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Sandra Zarraga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13,750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13,750</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Sanjay Sathe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34,793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34,793</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Sarbjit Johl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7,812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11,718</w:t>
            </w:r>
          </w:p>
        </w:tc>
        <w:tc>
          <w:tcPr>
            <w:tcW w:w="32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Satish Rao</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7,500</w:t>
            </w:r>
          </w:p>
        </w:tc>
        <w:tc>
          <w:tcPr>
            <w:tcW w:w="3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r>
        <w:trPr/>
        <w:tc>
          <w:tcPr>
            <w:tcW w:w="5109" w:type="dxa"/>
            <w:tcBorders/>
            <w:shd w:fill="CCEEFF" w:val="clear"/>
            <w:tcMar>
              <w:bottom w:w="0" w:type="dxa"/>
            </w:tcMar>
            <w:vAlign w:val="center"/>
          </w:tcPr>
          <w:p>
            <w:pPr>
              <w:pStyle w:val="TableContents"/>
              <w:bidi w:val="0"/>
              <w:spacing w:before="0" w:after="283"/>
              <w:jc w:val="left"/>
              <w:rPr/>
            </w:pPr>
            <w:r>
              <w:rPr/>
              <w:t>Scher Family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25,000</w:t>
            </w:r>
          </w:p>
        </w:tc>
        <w:tc>
          <w:tcPr>
            <w:tcW w:w="3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center"/>
              <w:rPr/>
            </w:pPr>
            <w:r>
              <w:rPr/>
              <w:t>*</w:t>
            </w:r>
          </w:p>
        </w:tc>
      </w:tr>
      <w:tr>
        <w:trPr/>
        <w:tc>
          <w:tcPr>
            <w:tcW w:w="5109" w:type="dxa"/>
            <w:tcBorders/>
            <w:shd w:fill="FFFFFF" w:val="clear"/>
            <w:tcMar>
              <w:bottom w:w="0" w:type="dxa"/>
            </w:tcMar>
            <w:vAlign w:val="center"/>
          </w:tcPr>
          <w:p>
            <w:pPr>
              <w:pStyle w:val="TableContents"/>
              <w:bidi w:val="0"/>
              <w:spacing w:before="0" w:after="283"/>
              <w:jc w:val="left"/>
              <w:rPr/>
            </w:pPr>
            <w:r>
              <w:rPr/>
              <w:t>Scott Byer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7,812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11,718</w:t>
            </w:r>
          </w:p>
        </w:tc>
        <w:tc>
          <w:tcPr>
            <w:tcW w:w="323"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1" w:type="dxa"/>
            <w:tcBorders/>
            <w:shd w:fill="FFFFFF" w:val="clear"/>
            <w:tcMar>
              <w:bottom w:w="0" w:type="dxa"/>
            </w:tcMar>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5067"/>
        <w:gridCol w:w="60"/>
        <w:gridCol w:w="86"/>
        <w:gridCol w:w="1419"/>
        <w:gridCol w:w="60"/>
        <w:gridCol w:w="60"/>
        <w:gridCol w:w="80"/>
        <w:gridCol w:w="1315"/>
        <w:gridCol w:w="331"/>
        <w:gridCol w:w="60"/>
        <w:gridCol w:w="1667"/>
      </w:tblGrid>
      <w:tr>
        <w:trPr/>
        <w:tc>
          <w:tcPr>
            <w:tcW w:w="5067" w:type="dxa"/>
            <w:tcBorders>
              <w:bottom w:val="single" w:sz="12" w:space="0" w:color="000000"/>
            </w:tcBorders>
            <w:vAlign w:val="center"/>
          </w:tcPr>
          <w:p>
            <w:pPr>
              <w:pStyle w:val="TableContents"/>
              <w:bidi w:val="0"/>
              <w:spacing w:before="0" w:after="283"/>
              <w:jc w:val="left"/>
              <w:rPr>
                <w:b/>
              </w:rPr>
            </w:pPr>
            <w:r>
              <w:rPr>
                <w:b/>
              </w:rPr>
              <w:t>Name of Selling Stockholders</w:t>
            </w:r>
          </w:p>
        </w:tc>
        <w:tc>
          <w:tcPr>
            <w:tcW w:w="60" w:type="dxa"/>
            <w:tcBorders/>
            <w:tcMar>
              <w:bottom w:w="0" w:type="dxa"/>
            </w:tcMar>
            <w:vAlign w:val="center"/>
          </w:tcPr>
          <w:p>
            <w:pPr>
              <w:pStyle w:val="TableContents"/>
              <w:bidi w:val="0"/>
              <w:spacing w:before="0" w:after="283"/>
              <w:jc w:val="left"/>
              <w:rPr/>
            </w:pPr>
            <w:r>
              <w:rPr/>
              <w:t> </w:t>
            </w:r>
          </w:p>
        </w:tc>
        <w:tc>
          <w:tcPr>
            <w:tcW w:w="1505" w:type="dxa"/>
            <w:gridSpan w:val="2"/>
            <w:tcBorders>
              <w:bottom w:val="single" w:sz="12" w:space="0" w:color="000000"/>
            </w:tcBorders>
            <w:vAlign w:val="center"/>
          </w:tcPr>
          <w:p>
            <w:pPr>
              <w:pStyle w:val="TableContents"/>
              <w:bidi w:val="0"/>
              <w:spacing w:before="0" w:after="283"/>
              <w:jc w:val="center"/>
              <w:rPr>
                <w:b/>
              </w:rPr>
            </w:pPr>
            <w:r>
              <w:rPr>
                <w:b/>
              </w:rPr>
              <w:t>Shares Owned</w:t>
              <w:br/>
              <w:t xml:space="preserve">Before the </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5" w:type="dxa"/>
            <w:gridSpan w:val="2"/>
            <w:tcBorders>
              <w:bottom w:val="single" w:sz="12" w:space="0" w:color="000000"/>
            </w:tcBorders>
            <w:vAlign w:val="center"/>
          </w:tcPr>
          <w:p>
            <w:pPr>
              <w:pStyle w:val="TableContents"/>
              <w:bidi w:val="0"/>
              <w:spacing w:before="0" w:after="283"/>
              <w:jc w:val="center"/>
              <w:rPr>
                <w:b/>
              </w:rPr>
            </w:pPr>
            <w:r>
              <w:rPr>
                <w:b/>
              </w:rPr>
              <w:t xml:space="preserve">Shares Being </w:t>
              <w:br/>
              <w:t>Offered</w:t>
            </w:r>
            <w:r>
              <w:rPr>
                <w:b/>
                <w:position w:val="8"/>
                <w:sz w:val="19"/>
              </w:rPr>
              <w:t>(1)(2)</w:t>
            </w:r>
          </w:p>
        </w:tc>
        <w:tc>
          <w:tcPr>
            <w:tcW w:w="33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7" w:type="dxa"/>
            <w:tcBorders>
              <w:bottom w:val="single" w:sz="12" w:space="0" w:color="000000"/>
            </w:tcBorders>
            <w:vAlign w:val="center"/>
          </w:tcPr>
          <w:p>
            <w:pPr>
              <w:pStyle w:val="TableContents"/>
              <w:bidi w:val="0"/>
              <w:spacing w:before="0" w:after="283"/>
              <w:jc w:val="center"/>
              <w:rPr>
                <w:b/>
              </w:rPr>
            </w:pPr>
            <w:r>
              <w:rPr>
                <w:b/>
              </w:rPr>
              <w:t xml:space="preserve">Shares Owned </w:t>
              <w:br/>
              <w:t>After the</w:t>
              <w:br/>
              <w:t>Offering(%)</w:t>
            </w:r>
            <w:r>
              <w:rPr>
                <w:b/>
                <w:position w:val="8"/>
                <w:sz w:val="19"/>
              </w:rPr>
              <w:t>(1)(2)</w:t>
            </w:r>
          </w:p>
        </w:tc>
      </w:tr>
      <w:tr>
        <w:trPr/>
        <w:tc>
          <w:tcPr>
            <w:tcW w:w="5067" w:type="dxa"/>
            <w:tcBorders/>
            <w:shd w:fill="CCEEFF" w:val="clear"/>
            <w:tcMar>
              <w:bottom w:w="0" w:type="dxa"/>
            </w:tcMar>
            <w:vAlign w:val="center"/>
          </w:tcPr>
          <w:p>
            <w:pPr>
              <w:pStyle w:val="TableContents"/>
              <w:bidi w:val="0"/>
              <w:spacing w:before="0" w:after="283"/>
              <w:jc w:val="left"/>
              <w:rPr/>
            </w:pPr>
            <w:r>
              <w:rPr/>
              <w:t>Scott Cardone+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11,425</w:t>
            </w:r>
          </w:p>
        </w:tc>
        <w:tc>
          <w:tcPr>
            <w:tcW w:w="33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SE Fund I, a series of Great Circle Venture,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24,475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24,475</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Selene Casabal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1,250</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SER Fund I, a series of MV Funds,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116,975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116,975</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Serve Robotics I, a Series of Republic Deal Room Master Fund,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93,140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93,140</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Serve Robotics II, A Series of Republic Deal Room Master Fund,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61,776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61,776</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Shawn P. Guttersen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31,250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46,875</w:t>
            </w:r>
          </w:p>
        </w:tc>
        <w:tc>
          <w:tcPr>
            <w:tcW w:w="33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Silicon Valley Bank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17,517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17,517</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SourceCode Communications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13,911</w:t>
            </w:r>
          </w:p>
        </w:tc>
        <w:tc>
          <w:tcPr>
            <w:tcW w:w="33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Spring Ventures SF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25,763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25,763</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Stephen Mut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5,000</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Sterling Road 2,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40,640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40,640</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Steve Cohen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12,500</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Suhail Al Ansari</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6,265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6,265</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Suresh Patel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6,500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6,500</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Tara Best+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1,500</w:t>
            </w:r>
          </w:p>
        </w:tc>
        <w:tc>
          <w:tcPr>
            <w:tcW w:w="331" w:type="dxa"/>
            <w:tcBorders/>
            <w:shd w:fill="FFFFFF" w:val="clear"/>
            <w:tcMar>
              <w:bottom w:w="0" w:type="dxa"/>
            </w:tcMar>
            <w:vAlign w:val="center"/>
          </w:tcPr>
          <w:p>
            <w:pPr>
              <w:pStyle w:val="TableContents"/>
              <w:bidi w:val="0"/>
              <w:spacing w:before="0" w:after="283"/>
              <w:jc w:val="left"/>
              <w:rPr>
                <w:position w:val="8"/>
                <w:sz w:val="19"/>
              </w:rPr>
            </w:pPr>
            <w:r>
              <w:rPr>
                <w:position w:val="8"/>
                <w:sz w:val="19"/>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The Michael E. Portnoy Revocable Trust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12,500</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The Plaice Family Living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36,805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36,805</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Think + Ventures Fund II,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202,429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202,429</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Thomas Ciano &amp; Theresa Ciano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3,750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3,750</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Thomas Collins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20,312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30,468</w:t>
            </w:r>
          </w:p>
        </w:tc>
        <w:tc>
          <w:tcPr>
            <w:tcW w:w="33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Thomas S. Murray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46,875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70,312</w:t>
            </w:r>
          </w:p>
        </w:tc>
        <w:tc>
          <w:tcPr>
            <w:tcW w:w="331" w:type="dxa"/>
            <w:tcBorders/>
            <w:shd w:fill="FFFFFF" w:val="clear"/>
            <w:tcMar>
              <w:bottom w:w="0" w:type="dxa"/>
            </w:tcMar>
            <w:vAlign w:val="center"/>
          </w:tcPr>
          <w:p>
            <w:pPr>
              <w:pStyle w:val="TableContents"/>
              <w:bidi w:val="0"/>
              <w:spacing w:before="0" w:after="283"/>
              <w:jc w:val="left"/>
              <w:rPr>
                <w:position w:val="8"/>
                <w:sz w:val="19"/>
              </w:rPr>
            </w:pPr>
            <w:r>
              <w:rPr>
                <w:position w:val="8"/>
                <w:sz w:val="19"/>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Tiferes Ventures 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130,931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130,931</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Timothy Herrmann+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16,824</w:t>
            </w:r>
          </w:p>
        </w:tc>
        <w:tc>
          <w:tcPr>
            <w:tcW w:w="331" w:type="dxa"/>
            <w:tcBorders/>
            <w:shd w:fill="FFFFFF" w:val="clear"/>
            <w:tcMar>
              <w:bottom w:w="0" w:type="dxa"/>
            </w:tcMar>
            <w:vAlign w:val="center"/>
          </w:tcPr>
          <w:p>
            <w:pPr>
              <w:pStyle w:val="TableContents"/>
              <w:bidi w:val="0"/>
              <w:spacing w:before="0" w:after="283"/>
              <w:jc w:val="left"/>
              <w:rPr>
                <w:position w:val="8"/>
                <w:sz w:val="19"/>
              </w:rPr>
            </w:pPr>
            <w:r>
              <w:rPr>
                <w:position w:val="8"/>
                <w:sz w:val="19"/>
              </w:rPr>
              <w:t>(63)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Todd Harrigan+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12,158</w:t>
            </w:r>
          </w:p>
        </w:tc>
        <w:tc>
          <w:tcPr>
            <w:tcW w:w="33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Tofu Properties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6,250</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Tribeca Corporate Services,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64,409</w:t>
            </w:r>
          </w:p>
        </w:tc>
        <w:tc>
          <w:tcPr>
            <w:tcW w:w="33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Tribridge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91,651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91,651</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Venture Lending &amp; Leasing IX,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189,547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189,547</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Viken Manoukian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7,812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11,718</w:t>
            </w:r>
          </w:p>
        </w:tc>
        <w:tc>
          <w:tcPr>
            <w:tcW w:w="331" w:type="dxa"/>
            <w:tcBorders/>
            <w:shd w:fill="FFFFFF" w:val="clear"/>
            <w:tcMar>
              <w:bottom w:w="0" w:type="dxa"/>
            </w:tcMar>
            <w:vAlign w:val="center"/>
          </w:tcPr>
          <w:p>
            <w:pPr>
              <w:pStyle w:val="TableContents"/>
              <w:bidi w:val="0"/>
              <w:spacing w:before="0" w:after="283"/>
              <w:jc w:val="left"/>
              <w:rPr>
                <w:position w:val="8"/>
                <w:sz w:val="19"/>
              </w:rPr>
            </w:pPr>
            <w:r>
              <w:rPr>
                <w:position w:val="8"/>
                <w:sz w:val="19"/>
              </w:rPr>
              <w:t>(66)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Vincent Labarbara+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21,037</w:t>
            </w:r>
          </w:p>
        </w:tc>
        <w:tc>
          <w:tcPr>
            <w:tcW w:w="33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Wavemaker Global Select II, LLC</w:t>
            </w:r>
            <w:r>
              <w:rPr>
                <w:position w:val="8"/>
                <w:sz w:val="19"/>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659,035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659,035</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Wavemaker Pacific 4,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1,220,206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1,220,206</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William Hunt+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3,000</w:t>
            </w:r>
          </w:p>
        </w:tc>
        <w:tc>
          <w:tcPr>
            <w:tcW w:w="331" w:type="dxa"/>
            <w:tcBorders/>
            <w:shd w:fill="FFFFFF" w:val="clear"/>
            <w:tcMar>
              <w:bottom w:w="0" w:type="dxa"/>
            </w:tcMar>
            <w:vAlign w:val="center"/>
          </w:tcPr>
          <w:p>
            <w:pPr>
              <w:pStyle w:val="TableContents"/>
              <w:bidi w:val="0"/>
              <w:spacing w:before="0" w:after="283"/>
              <w:jc w:val="left"/>
              <w:rPr>
                <w:position w:val="8"/>
                <w:sz w:val="19"/>
              </w:rPr>
            </w:pPr>
            <w:r>
              <w:rPr>
                <w:position w:val="8"/>
                <w:sz w:val="19"/>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William R. Hunt,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3,750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3,750</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William R. Hunt, Jr. - R/O IRA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2,500</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r>
        <w:trPr/>
        <w:tc>
          <w:tcPr>
            <w:tcW w:w="5067" w:type="dxa"/>
            <w:tcBorders/>
            <w:shd w:fill="CCEEFF" w:val="clear"/>
            <w:tcMar>
              <w:bottom w:w="0" w:type="dxa"/>
            </w:tcMar>
            <w:vAlign w:val="center"/>
          </w:tcPr>
          <w:p>
            <w:pPr>
              <w:pStyle w:val="TableContents"/>
              <w:bidi w:val="0"/>
              <w:spacing w:before="0" w:after="283"/>
              <w:jc w:val="left"/>
              <w:rPr/>
            </w:pPr>
            <w:r>
              <w:rPr/>
              <w:t>Zaizhuang Cheng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right"/>
              <w:rPr/>
            </w:pPr>
            <w:r>
              <w:rPr/>
              <w:t>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4,600</w:t>
            </w:r>
          </w:p>
        </w:tc>
        <w:tc>
          <w:tcPr>
            <w:tcW w:w="3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pPr>
            <w:r>
              <w:rPr/>
              <w:t>*</w:t>
            </w:r>
          </w:p>
        </w:tc>
      </w:tr>
      <w:tr>
        <w:trPr/>
        <w:tc>
          <w:tcPr>
            <w:tcW w:w="5067" w:type="dxa"/>
            <w:tcBorders/>
            <w:shd w:fill="FFFFFF" w:val="clear"/>
            <w:tcMar>
              <w:bottom w:w="0" w:type="dxa"/>
            </w:tcMar>
            <w:vAlign w:val="center"/>
          </w:tcPr>
          <w:p>
            <w:pPr>
              <w:pStyle w:val="TableContents"/>
              <w:bidi w:val="0"/>
              <w:spacing w:before="0" w:after="283"/>
              <w:jc w:val="left"/>
              <w:rPr/>
            </w:pPr>
            <w:r>
              <w:rPr/>
              <w:t>Zero1derful Living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right"/>
              <w:rPr/>
            </w:pPr>
            <w:r>
              <w:rPr/>
              <w:t>334,928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334,928</w:t>
            </w:r>
          </w:p>
        </w:tc>
        <w:tc>
          <w:tcPr>
            <w:tcW w:w="3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1488" w:type="dxa"/>
        <w:jc w:val="left"/>
        <w:tblInd w:w="0" w:type="dxa"/>
        <w:tblLayout w:type="fixed"/>
        <w:tblCellMar>
          <w:top w:w="0" w:type="dxa"/>
          <w:left w:w="0" w:type="dxa"/>
          <w:bottom w:w="0" w:type="dxa"/>
          <w:right w:w="0" w:type="dxa"/>
        </w:tblCellMar>
      </w:tblPr>
      <w:tblGrid>
        <w:gridCol w:w="38"/>
        <w:gridCol w:w="14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pPr>
            <w:r>
              <w:rPr/>
              <w:t>Less than 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The selling stockholder is a broker-dealer or an affiliate of a broker-dealer. The selling stockholder has represented to us that (i) it purchased the securities in the ordinary course of business, and (ii) at the time of the purchase of the securities, the selling stockholder had no agreements or understandings, directly or indirectly, with any person to distribute the securities.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283"/>
              <w:jc w:val="both"/>
              <w:rPr/>
            </w:pPr>
            <w:r>
              <w:rPr/>
              <w:t>Applicable percentage ownership is based on 24,832,814 shares of our common stock outstanding as of November 17, 2023.</w:t>
            </w:r>
          </w:p>
        </w:tc>
      </w:tr>
    </w:tbl>
    <w:p>
      <w:pPr>
        <w:pStyle w:val="TextBody"/>
        <w:bidi w:val="0"/>
        <w:spacing w:before="0" w:after="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29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5330" w:type="dxa"/>
            <w:tcBorders/>
            <w:vAlign w:val="center"/>
          </w:tcPr>
          <w:p>
            <w:pPr>
              <w:pStyle w:val="TableContents"/>
              <w:bidi w:val="0"/>
              <w:spacing w:before="0" w:after="283"/>
              <w:jc w:val="both"/>
              <w:rPr/>
            </w:pPr>
            <w:r>
              <w:rPr/>
              <w:t>Assumes the sale of all shares offered in this prospectus.</w:t>
            </w:r>
          </w:p>
        </w:tc>
      </w:tr>
    </w:tbl>
    <w:p>
      <w:pPr>
        <w:pStyle w:val="TextBody"/>
        <w:bidi w:val="0"/>
        <w:spacing w:before="0" w:after="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9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7895" w:type="dxa"/>
            <w:tcBorders/>
            <w:vAlign w:val="center"/>
          </w:tcPr>
          <w:p>
            <w:pPr>
              <w:pStyle w:val="TableContents"/>
              <w:bidi w:val="0"/>
              <w:spacing w:before="0" w:after="283"/>
              <w:jc w:val="both"/>
              <w:rPr/>
            </w:pPr>
            <w:r>
              <w:rPr/>
              <w:t>Ali Kashani is our Chief Executive Officer and Chairman of our board of directors.</w:t>
            </w:r>
          </w:p>
        </w:tc>
      </w:tr>
    </w:tbl>
    <w:p>
      <w:pPr>
        <w:pStyle w:val="TextBody"/>
        <w:bidi w:val="0"/>
        <w:spacing w:before="0" w:after="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29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8690" w:type="dxa"/>
            <w:tcBorders/>
            <w:vAlign w:val="center"/>
          </w:tcPr>
          <w:p>
            <w:pPr>
              <w:pStyle w:val="TableContents"/>
              <w:bidi w:val="0"/>
              <w:spacing w:before="0" w:after="283"/>
              <w:jc w:val="both"/>
              <w:rPr/>
            </w:pPr>
            <w:r>
              <w:rPr/>
              <w:t>Future VC, LLC is controlled by James Buckly Jordan, a member of our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(5)</w:t>
            </w:r>
          </w:p>
        </w:tc>
        <w:tc>
          <w:tcPr>
            <w:tcW w:w="9903" w:type="dxa"/>
            <w:tcBorders/>
            <w:vAlign w:val="center"/>
          </w:tcPr>
          <w:p>
            <w:pPr>
              <w:pStyle w:val="TableContents"/>
              <w:bidi w:val="0"/>
              <w:spacing w:before="0" w:after="283"/>
              <w:jc w:val="both"/>
              <w:rPr/>
            </w:pPr>
            <w:r>
              <w:rPr/>
              <w:t>Ian Jacobs is a former President, Chief Executive Officer, Chief Financial Officer, Secretary and director of Patricia Acquisition Corp, our predecessor.</w:t>
            </w:r>
          </w:p>
        </w:tc>
      </w:tr>
    </w:tbl>
    <w:p>
      <w:pPr>
        <w:pStyle w:val="TextBody"/>
        <w:bidi w:val="0"/>
        <w:spacing w:before="0" w:after="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9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(6)</w:t>
            </w:r>
          </w:p>
        </w:tc>
        <w:tc>
          <w:tcPr>
            <w:tcW w:w="5660" w:type="dxa"/>
            <w:tcBorders/>
            <w:vAlign w:val="center"/>
          </w:tcPr>
          <w:p>
            <w:pPr>
              <w:pStyle w:val="TableContents"/>
              <w:bidi w:val="0"/>
              <w:spacing w:before="0" w:after="283"/>
              <w:jc w:val="both"/>
              <w:rPr/>
            </w:pPr>
            <w:r>
              <w:rPr/>
              <w:t>James Buckly Jordan is a member of our board of directors.</w:t>
            </w:r>
          </w:p>
        </w:tc>
      </w:tr>
    </w:tbl>
    <w:p>
      <w:pPr>
        <w:pStyle w:val="TextBody"/>
        <w:bidi w:val="0"/>
        <w:spacing w:before="0" w:after="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29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(7)</w:t>
            </w:r>
          </w:p>
        </w:tc>
        <w:tc>
          <w:tcPr>
            <w:tcW w:w="7790" w:type="dxa"/>
            <w:tcBorders/>
            <w:vAlign w:val="center"/>
          </w:tcPr>
          <w:p>
            <w:pPr>
              <w:pStyle w:val="TableContents"/>
              <w:bidi w:val="0"/>
              <w:spacing w:before="0" w:after="283"/>
              <w:jc w:val="both"/>
              <w:rPr/>
            </w:pPr>
            <w:r>
              <w:rPr/>
              <w:t>Mark Tompkins is a former director of Patricia Acquisition Corp, our predecessor.</w:t>
            </w:r>
          </w:p>
        </w:tc>
      </w:tr>
    </w:tbl>
    <w:p>
      <w:pPr>
        <w:pStyle w:val="TextBody"/>
        <w:bidi w:val="0"/>
        <w:spacing w:before="0" w:after="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29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(8)</w:t>
            </w:r>
          </w:p>
        </w:tc>
        <w:tc>
          <w:tcPr>
            <w:tcW w:w="9575" w:type="dxa"/>
            <w:tcBorders/>
            <w:vAlign w:val="center"/>
          </w:tcPr>
          <w:p>
            <w:pPr>
              <w:pStyle w:val="TableContents"/>
              <w:bidi w:val="0"/>
              <w:spacing w:before="0" w:after="283"/>
              <w:jc w:val="both"/>
              <w:rPr/>
            </w:pPr>
            <w:r>
              <w:rPr/>
              <w:t>Match Robotics VC, LLC is controlled by James Buckly Jordan, a member of our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(9)</w:t>
            </w:r>
          </w:p>
        </w:tc>
        <w:tc>
          <w:tcPr>
            <w:tcW w:w="9904" w:type="dxa"/>
            <w:tcBorders/>
            <w:vAlign w:val="center"/>
          </w:tcPr>
          <w:p>
            <w:pPr>
              <w:pStyle w:val="TableContents"/>
              <w:bidi w:val="0"/>
              <w:spacing w:before="0" w:after="283"/>
              <w:jc w:val="both"/>
              <w:rPr/>
            </w:pPr>
            <w:r>
              <w:rPr/>
              <w:t>NEO 2.0, L.P., together with NEO 2.0a, L.P. which has the same general partner, GEO 2.0., L.P., beneficially owns greater than 5% of our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3"/>
        <w:gridCol w:w="9784"/>
      </w:tblGrid>
      <w:tr>
        <w:trPr/>
        <w:tc>
          <w:tcPr>
            <w:tcW w:w="3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283"/>
              <w:jc w:val="both"/>
              <w:rPr/>
            </w:pPr>
            <w:r>
              <w:rPr/>
              <w:t>NEO 2.0a, L.P., together with NEO 2.0, L.P. which has the same general partner, GEO 2.0., L.P., beneficially owns greater than 5% of our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41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(11)</w:t>
            </w:r>
          </w:p>
        </w:tc>
        <w:tc>
          <w:tcPr>
            <w:tcW w:w="6305" w:type="dxa"/>
            <w:tcBorders/>
            <w:vAlign w:val="center"/>
          </w:tcPr>
          <w:p>
            <w:pPr>
              <w:pStyle w:val="TableContents"/>
              <w:bidi w:val="0"/>
              <w:spacing w:before="0" w:after="283"/>
              <w:jc w:val="both"/>
              <w:rPr/>
            </w:pPr>
            <w:r>
              <w:rPr/>
              <w:t>NVIDIA beneficially owns greater than 5% of our common stock.</w:t>
            </w:r>
          </w:p>
        </w:tc>
      </w:tr>
    </w:tbl>
    <w:p>
      <w:pPr>
        <w:pStyle w:val="TextBody"/>
        <w:bidi w:val="0"/>
        <w:spacing w:before="0" w:after="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41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(12)</w:t>
            </w:r>
          </w:p>
        </w:tc>
        <w:tc>
          <w:tcPr>
            <w:tcW w:w="5120" w:type="dxa"/>
            <w:tcBorders/>
            <w:vAlign w:val="center"/>
          </w:tcPr>
          <w:p>
            <w:pPr>
              <w:pStyle w:val="TableContents"/>
              <w:bidi w:val="0"/>
              <w:spacing w:before="0" w:after="283"/>
              <w:jc w:val="both"/>
              <w:rPr/>
            </w:pPr>
            <w:r>
              <w:rPr/>
              <w:t>Olivier Vincent is a member of our board of directors.</w:t>
            </w:r>
          </w:p>
        </w:tc>
      </w:tr>
    </w:tbl>
    <w:p>
      <w:pPr>
        <w:pStyle w:val="TextBody"/>
        <w:bidi w:val="0"/>
        <w:spacing w:before="0" w:after="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41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(13)</w:t>
            </w:r>
          </w:p>
        </w:tc>
        <w:tc>
          <w:tcPr>
            <w:tcW w:w="6380" w:type="dxa"/>
            <w:tcBorders/>
            <w:vAlign w:val="center"/>
          </w:tcPr>
          <w:p>
            <w:pPr>
              <w:pStyle w:val="TableContents"/>
              <w:bidi w:val="0"/>
              <w:spacing w:before="0" w:after="283"/>
              <w:jc w:val="both"/>
              <w:rPr/>
            </w:pPr>
            <w:r>
              <w:rPr/>
              <w:t>Postmates beneficially owns greater than 5% of our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7"/>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(14)</w:t>
            </w:r>
          </w:p>
        </w:tc>
        <w:tc>
          <w:tcPr>
            <w:tcW w:w="9770" w:type="dxa"/>
            <w:tcBorders/>
            <w:vAlign w:val="center"/>
          </w:tcPr>
          <w:p>
            <w:pPr>
              <w:pStyle w:val="TableContents"/>
              <w:bidi w:val="0"/>
              <w:spacing w:before="0" w:after="283"/>
              <w:jc w:val="both"/>
              <w:rPr/>
            </w:pPr>
            <w:r>
              <w:rPr/>
              <w:t>James Buckly Jordan, a member of our board of directors, is the Managing Partner of Wavemaker Global Select II, LLC.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8"/>
        <w:gridCol w:w="9759"/>
      </w:tblGrid>
      <w:tr>
        <w:trPr/>
        <w:tc>
          <w:tcPr>
            <w:tcW w:w="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(15)</w:t>
            </w:r>
          </w:p>
        </w:tc>
        <w:tc>
          <w:tcPr>
            <w:tcW w:w="9759" w:type="dxa"/>
            <w:tcBorders/>
            <w:vAlign w:val="center"/>
          </w:tcPr>
          <w:p>
            <w:pPr>
              <w:pStyle w:val="TableContents"/>
              <w:bidi w:val="0"/>
              <w:spacing w:before="0" w:after="283"/>
              <w:jc w:val="both"/>
              <w:rPr/>
            </w:pPr>
            <w:r>
              <w:rPr/>
              <w:t>Includes 214,349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(16)</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(17)</w:t>
            </w:r>
          </w:p>
        </w:tc>
        <w:tc>
          <w:tcPr>
            <w:tcW w:w="9725" w:type="dxa"/>
            <w:tcBorders/>
            <w:vAlign w:val="center"/>
          </w:tcPr>
          <w:p>
            <w:pPr>
              <w:pStyle w:val="TableContents"/>
              <w:bidi w:val="0"/>
              <w:spacing w:before="0" w:after="283"/>
              <w:jc w:val="both"/>
              <w:rPr/>
            </w:pPr>
            <w:r>
              <w:rPr/>
              <w:t>Includes 1,562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41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(18)</w:t>
            </w:r>
          </w:p>
        </w:tc>
        <w:tc>
          <w:tcPr>
            <w:tcW w:w="9545" w:type="dxa"/>
            <w:tcBorders/>
            <w:vAlign w:val="center"/>
          </w:tcPr>
          <w:p>
            <w:pPr>
              <w:pStyle w:val="TableContents"/>
              <w:bidi w:val="0"/>
              <w:spacing w:before="0" w:after="283"/>
              <w:jc w:val="both"/>
              <w:rPr/>
            </w:pPr>
            <w:r>
              <w:rPr/>
              <w:t>Includes 781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(19)</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(20)</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(21)</w:t>
            </w:r>
          </w:p>
        </w:tc>
        <w:tc>
          <w:tcPr>
            <w:tcW w:w="9725" w:type="dxa"/>
            <w:tcBorders/>
            <w:vAlign w:val="center"/>
          </w:tcPr>
          <w:p>
            <w:pPr>
              <w:pStyle w:val="TableContents"/>
              <w:bidi w:val="0"/>
              <w:spacing w:before="0" w:after="283"/>
              <w:jc w:val="both"/>
              <w:rPr/>
            </w:pPr>
            <w:r>
              <w:rPr/>
              <w:t>Includes 5,468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(22)</w:t>
            </w:r>
          </w:p>
        </w:tc>
        <w:tc>
          <w:tcPr>
            <w:tcW w:w="9725" w:type="dxa"/>
            <w:tcBorders/>
            <w:vAlign w:val="center"/>
          </w:tcPr>
          <w:p>
            <w:pPr>
              <w:pStyle w:val="TableContents"/>
              <w:bidi w:val="0"/>
              <w:spacing w:before="0" w:after="283"/>
              <w:jc w:val="both"/>
              <w:rPr/>
            </w:pPr>
            <w:r>
              <w:rPr/>
              <w:t>Includes 7,812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(23)</w:t>
            </w:r>
          </w:p>
        </w:tc>
        <w:tc>
          <w:tcPr>
            <w:tcW w:w="9725" w:type="dxa"/>
            <w:tcBorders/>
            <w:vAlign w:val="center"/>
          </w:tcPr>
          <w:p>
            <w:pPr>
              <w:pStyle w:val="TableContents"/>
              <w:bidi w:val="0"/>
              <w:spacing w:before="0" w:after="283"/>
              <w:jc w:val="both"/>
              <w:rPr/>
            </w:pPr>
            <w:r>
              <w:rPr/>
              <w:t>Includes 7,812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(24)</w:t>
            </w:r>
          </w:p>
        </w:tc>
        <w:tc>
          <w:tcPr>
            <w:tcW w:w="9758" w:type="dxa"/>
            <w:tcBorders/>
            <w:vAlign w:val="center"/>
          </w:tcPr>
          <w:p>
            <w:pPr>
              <w:pStyle w:val="TableContents"/>
              <w:bidi w:val="0"/>
              <w:spacing w:before="0" w:after="283"/>
              <w:jc w:val="both"/>
              <w:rPr/>
            </w:pPr>
            <w:r>
              <w:rPr/>
              <w:t>Includes 10,937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(25)</w:t>
            </w:r>
          </w:p>
        </w:tc>
        <w:tc>
          <w:tcPr>
            <w:tcW w:w="9725" w:type="dxa"/>
            <w:tcBorders/>
            <w:vAlign w:val="center"/>
          </w:tcPr>
          <w:p>
            <w:pPr>
              <w:pStyle w:val="TableContents"/>
              <w:bidi w:val="0"/>
              <w:spacing w:before="0" w:after="283"/>
              <w:jc w:val="both"/>
              <w:rPr/>
            </w:pPr>
            <w:r>
              <w:rPr/>
              <w:t>Includes 1,562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(26)</w:t>
            </w:r>
          </w:p>
        </w:tc>
        <w:tc>
          <w:tcPr>
            <w:tcW w:w="9758" w:type="dxa"/>
            <w:tcBorders/>
            <w:vAlign w:val="center"/>
          </w:tcPr>
          <w:p>
            <w:pPr>
              <w:pStyle w:val="TableContents"/>
              <w:bidi w:val="0"/>
              <w:spacing w:before="0" w:after="283"/>
              <w:jc w:val="both"/>
              <w:rPr/>
            </w:pPr>
            <w:r>
              <w:rPr/>
              <w:t>Includes 72,044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(27)</w:t>
            </w:r>
          </w:p>
        </w:tc>
        <w:tc>
          <w:tcPr>
            <w:tcW w:w="9725" w:type="dxa"/>
            <w:tcBorders/>
            <w:vAlign w:val="center"/>
          </w:tcPr>
          <w:p>
            <w:pPr>
              <w:pStyle w:val="TableContents"/>
              <w:bidi w:val="0"/>
              <w:spacing w:before="0" w:after="283"/>
              <w:jc w:val="both"/>
              <w:rPr/>
            </w:pPr>
            <w:r>
              <w:rPr/>
              <w:t>Includes 3,125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(28)</w:t>
            </w:r>
          </w:p>
        </w:tc>
        <w:tc>
          <w:tcPr>
            <w:tcW w:w="9725" w:type="dxa"/>
            <w:tcBorders/>
            <w:vAlign w:val="center"/>
          </w:tcPr>
          <w:p>
            <w:pPr>
              <w:pStyle w:val="TableContents"/>
              <w:bidi w:val="0"/>
              <w:spacing w:before="0" w:after="283"/>
              <w:jc w:val="both"/>
              <w:rPr/>
            </w:pPr>
            <w:r>
              <w:rPr/>
              <w:t>Includes 2,343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(29)</w:t>
            </w:r>
          </w:p>
        </w:tc>
        <w:tc>
          <w:tcPr>
            <w:tcW w:w="9758" w:type="dxa"/>
            <w:tcBorders/>
            <w:vAlign w:val="center"/>
          </w:tcPr>
          <w:p>
            <w:pPr>
              <w:pStyle w:val="TableContents"/>
              <w:bidi w:val="0"/>
              <w:spacing w:before="0" w:after="283"/>
              <w:jc w:val="both"/>
              <w:rPr/>
            </w:pPr>
            <w:r>
              <w:rPr/>
              <w:t>Includes 72,045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(30)</w:t>
            </w:r>
          </w:p>
        </w:tc>
        <w:tc>
          <w:tcPr>
            <w:tcW w:w="9758" w:type="dxa"/>
            <w:tcBorders/>
            <w:vAlign w:val="center"/>
          </w:tcPr>
          <w:p>
            <w:pPr>
              <w:pStyle w:val="TableContents"/>
              <w:bidi w:val="0"/>
              <w:spacing w:before="0" w:after="283"/>
              <w:jc w:val="both"/>
              <w:rPr/>
            </w:pPr>
            <w:r>
              <w:rPr/>
              <w:t>Includes 15,625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(31)</w:t>
            </w:r>
          </w:p>
        </w:tc>
        <w:tc>
          <w:tcPr>
            <w:tcW w:w="9725" w:type="dxa"/>
            <w:tcBorders/>
            <w:vAlign w:val="center"/>
          </w:tcPr>
          <w:p>
            <w:pPr>
              <w:pStyle w:val="TableContents"/>
              <w:bidi w:val="0"/>
              <w:spacing w:before="0" w:after="283"/>
              <w:jc w:val="both"/>
              <w:rPr/>
            </w:pPr>
            <w:r>
              <w:rPr/>
              <w:t>Includes 7,812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(32)</w:t>
            </w:r>
          </w:p>
        </w:tc>
        <w:tc>
          <w:tcPr>
            <w:tcW w:w="9725" w:type="dxa"/>
            <w:tcBorders/>
            <w:vAlign w:val="center"/>
          </w:tcPr>
          <w:p>
            <w:pPr>
              <w:pStyle w:val="TableContents"/>
              <w:bidi w:val="0"/>
              <w:spacing w:before="0" w:after="283"/>
              <w:jc w:val="both"/>
              <w:rPr/>
            </w:pPr>
            <w:r>
              <w:rPr/>
              <w:t>Includes 4,687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(33)</w:t>
            </w:r>
          </w:p>
        </w:tc>
        <w:tc>
          <w:tcPr>
            <w:tcW w:w="9758" w:type="dxa"/>
            <w:tcBorders/>
            <w:vAlign w:val="center"/>
          </w:tcPr>
          <w:p>
            <w:pPr>
              <w:pStyle w:val="TableContents"/>
              <w:bidi w:val="0"/>
              <w:spacing w:before="0" w:after="283"/>
              <w:jc w:val="both"/>
              <w:rPr/>
            </w:pPr>
            <w:r>
              <w:rPr/>
              <w:t>Includes 64,410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(34)</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(35)</w:t>
            </w:r>
          </w:p>
        </w:tc>
        <w:tc>
          <w:tcPr>
            <w:tcW w:w="9758" w:type="dxa"/>
            <w:tcBorders/>
            <w:vAlign w:val="center"/>
          </w:tcPr>
          <w:p>
            <w:pPr>
              <w:pStyle w:val="TableContents"/>
              <w:bidi w:val="0"/>
              <w:spacing w:before="0" w:after="283"/>
              <w:jc w:val="both"/>
              <w:rPr/>
            </w:pPr>
            <w:r>
              <w:rPr/>
              <w:t>Includes 23,437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(36)</w:t>
            </w:r>
          </w:p>
        </w:tc>
        <w:tc>
          <w:tcPr>
            <w:tcW w:w="9725" w:type="dxa"/>
            <w:tcBorders/>
            <w:vAlign w:val="center"/>
          </w:tcPr>
          <w:p>
            <w:pPr>
              <w:pStyle w:val="TableContents"/>
              <w:bidi w:val="0"/>
              <w:spacing w:before="0" w:after="283"/>
              <w:jc w:val="both"/>
              <w:rPr/>
            </w:pPr>
            <w:r>
              <w:rPr/>
              <w:t>Includes 7,812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(37)</w:t>
            </w:r>
          </w:p>
        </w:tc>
        <w:tc>
          <w:tcPr>
            <w:tcW w:w="9725" w:type="dxa"/>
            <w:tcBorders/>
            <w:vAlign w:val="center"/>
          </w:tcPr>
          <w:p>
            <w:pPr>
              <w:pStyle w:val="TableContents"/>
              <w:bidi w:val="0"/>
              <w:spacing w:before="0" w:after="283"/>
              <w:jc w:val="both"/>
              <w:rPr/>
            </w:pPr>
            <w:r>
              <w:rPr/>
              <w:t>Includes 6,640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(38)</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(39)</w:t>
            </w:r>
          </w:p>
        </w:tc>
        <w:tc>
          <w:tcPr>
            <w:tcW w:w="9725" w:type="dxa"/>
            <w:tcBorders/>
            <w:vAlign w:val="center"/>
          </w:tcPr>
          <w:p>
            <w:pPr>
              <w:pStyle w:val="TableContents"/>
              <w:bidi w:val="0"/>
              <w:spacing w:before="0" w:after="283"/>
              <w:jc w:val="both"/>
              <w:rPr/>
            </w:pPr>
            <w:r>
              <w:rPr/>
              <w:t>Includes 7,812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(40)</w:t>
            </w:r>
          </w:p>
        </w:tc>
        <w:tc>
          <w:tcPr>
            <w:tcW w:w="9758" w:type="dxa"/>
            <w:tcBorders/>
            <w:vAlign w:val="center"/>
          </w:tcPr>
          <w:p>
            <w:pPr>
              <w:pStyle w:val="TableContents"/>
              <w:bidi w:val="0"/>
              <w:spacing w:before="0" w:after="283"/>
              <w:jc w:val="both"/>
              <w:rPr/>
            </w:pPr>
            <w:r>
              <w:rPr/>
              <w:t>Includes 37,350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(41)</w:t>
            </w:r>
          </w:p>
        </w:tc>
        <w:tc>
          <w:tcPr>
            <w:tcW w:w="9758" w:type="dxa"/>
            <w:tcBorders/>
            <w:vAlign w:val="center"/>
          </w:tcPr>
          <w:p>
            <w:pPr>
              <w:pStyle w:val="TableContents"/>
              <w:bidi w:val="0"/>
              <w:spacing w:before="0" w:after="283"/>
              <w:jc w:val="both"/>
              <w:rPr/>
            </w:pPr>
            <w:r>
              <w:rPr/>
              <w:t>Includes 23,437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8"/>
        <w:gridCol w:w="9759"/>
      </w:tblGrid>
      <w:tr>
        <w:trPr/>
        <w:tc>
          <w:tcPr>
            <w:tcW w:w="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(42)</w:t>
            </w:r>
          </w:p>
        </w:tc>
        <w:tc>
          <w:tcPr>
            <w:tcW w:w="9759" w:type="dxa"/>
            <w:tcBorders/>
            <w:vAlign w:val="center"/>
          </w:tcPr>
          <w:p>
            <w:pPr>
              <w:pStyle w:val="TableContents"/>
              <w:bidi w:val="0"/>
              <w:spacing w:before="0" w:after="283"/>
              <w:jc w:val="both"/>
              <w:rPr/>
            </w:pPr>
            <w:r>
              <w:rPr/>
              <w:t>Includes 156,250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(43)</w:t>
            </w:r>
          </w:p>
        </w:tc>
        <w:tc>
          <w:tcPr>
            <w:tcW w:w="9725" w:type="dxa"/>
            <w:tcBorders/>
            <w:vAlign w:val="center"/>
          </w:tcPr>
          <w:p>
            <w:pPr>
              <w:pStyle w:val="TableContents"/>
              <w:bidi w:val="0"/>
              <w:spacing w:before="0" w:after="283"/>
              <w:jc w:val="both"/>
              <w:rPr/>
            </w:pPr>
            <w:r>
              <w:rPr/>
              <w:t>Includes 3,750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(44)</w:t>
            </w:r>
          </w:p>
        </w:tc>
        <w:tc>
          <w:tcPr>
            <w:tcW w:w="9758" w:type="dxa"/>
            <w:tcBorders/>
            <w:vAlign w:val="center"/>
          </w:tcPr>
          <w:p>
            <w:pPr>
              <w:pStyle w:val="TableContents"/>
              <w:bidi w:val="0"/>
              <w:spacing w:before="0" w:after="283"/>
              <w:jc w:val="both"/>
              <w:rPr/>
            </w:pPr>
            <w:r>
              <w:rPr/>
              <w:t>Includes 31,250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(45)</w:t>
            </w:r>
          </w:p>
        </w:tc>
        <w:tc>
          <w:tcPr>
            <w:tcW w:w="9725" w:type="dxa"/>
            <w:tcBorders/>
            <w:vAlign w:val="center"/>
          </w:tcPr>
          <w:p>
            <w:pPr>
              <w:pStyle w:val="TableContents"/>
              <w:bidi w:val="0"/>
              <w:spacing w:before="0" w:after="283"/>
              <w:jc w:val="both"/>
              <w:rPr/>
            </w:pPr>
            <w:r>
              <w:rPr/>
              <w:t>Includes 2,100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(46)</w:t>
            </w:r>
          </w:p>
        </w:tc>
        <w:tc>
          <w:tcPr>
            <w:tcW w:w="9758" w:type="dxa"/>
            <w:tcBorders/>
            <w:vAlign w:val="center"/>
          </w:tcPr>
          <w:p>
            <w:pPr>
              <w:pStyle w:val="TableContents"/>
              <w:bidi w:val="0"/>
              <w:spacing w:before="0" w:after="283"/>
              <w:jc w:val="both"/>
              <w:rPr/>
            </w:pPr>
            <w:r>
              <w:rPr/>
              <w:t>Includes 15,625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(47)</w:t>
            </w:r>
          </w:p>
        </w:tc>
        <w:tc>
          <w:tcPr>
            <w:tcW w:w="9758" w:type="dxa"/>
            <w:tcBorders/>
            <w:vAlign w:val="center"/>
          </w:tcPr>
          <w:p>
            <w:pPr>
              <w:pStyle w:val="TableContents"/>
              <w:bidi w:val="0"/>
              <w:spacing w:before="0" w:after="283"/>
              <w:jc w:val="both"/>
              <w:rPr/>
            </w:pPr>
            <w:r>
              <w:rPr/>
              <w:t>Includes 14,739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(48)</w:t>
            </w:r>
          </w:p>
        </w:tc>
        <w:tc>
          <w:tcPr>
            <w:tcW w:w="9725" w:type="dxa"/>
            <w:tcBorders/>
            <w:vAlign w:val="center"/>
          </w:tcPr>
          <w:p>
            <w:pPr>
              <w:pStyle w:val="TableContents"/>
              <w:bidi w:val="0"/>
              <w:spacing w:before="0" w:after="283"/>
              <w:jc w:val="both"/>
              <w:rPr/>
            </w:pPr>
            <w:r>
              <w:rPr/>
              <w:t>Includes 7,812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(49)</w:t>
            </w:r>
          </w:p>
        </w:tc>
        <w:tc>
          <w:tcPr>
            <w:tcW w:w="9725" w:type="dxa"/>
            <w:tcBorders/>
            <w:vAlign w:val="center"/>
          </w:tcPr>
          <w:p>
            <w:pPr>
              <w:pStyle w:val="TableContents"/>
              <w:bidi w:val="0"/>
              <w:spacing w:before="0" w:after="283"/>
              <w:jc w:val="both"/>
              <w:rPr/>
            </w:pPr>
            <w:r>
              <w:rPr/>
              <w:t>Includes 7,812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(50)</w:t>
            </w:r>
          </w:p>
        </w:tc>
        <w:tc>
          <w:tcPr>
            <w:tcW w:w="9725" w:type="dxa"/>
            <w:tcBorders/>
            <w:vAlign w:val="center"/>
          </w:tcPr>
          <w:p>
            <w:pPr>
              <w:pStyle w:val="TableContents"/>
              <w:bidi w:val="0"/>
              <w:spacing w:before="0" w:after="283"/>
              <w:jc w:val="both"/>
              <w:rPr/>
            </w:pPr>
            <w:r>
              <w:rPr/>
              <w:t>Includes 7,812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(51)</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(52)</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(53)</w:t>
            </w:r>
          </w:p>
        </w:tc>
        <w:tc>
          <w:tcPr>
            <w:tcW w:w="9725" w:type="dxa"/>
            <w:tcBorders/>
            <w:vAlign w:val="center"/>
          </w:tcPr>
          <w:p>
            <w:pPr>
              <w:pStyle w:val="TableContents"/>
              <w:bidi w:val="0"/>
              <w:spacing w:before="0" w:after="283"/>
              <w:jc w:val="both"/>
              <w:rPr/>
            </w:pPr>
            <w:r>
              <w:rPr/>
              <w:t>Includes 7,812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(54)</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(55)</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(56)</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(57)</w:t>
            </w:r>
          </w:p>
        </w:tc>
        <w:tc>
          <w:tcPr>
            <w:tcW w:w="9758" w:type="dxa"/>
            <w:tcBorders/>
            <w:vAlign w:val="center"/>
          </w:tcPr>
          <w:p>
            <w:pPr>
              <w:pStyle w:val="TableContents"/>
              <w:bidi w:val="0"/>
              <w:spacing w:before="0" w:after="283"/>
              <w:jc w:val="both"/>
              <w:rPr/>
            </w:pPr>
            <w:r>
              <w:rPr/>
              <w:t>Includes 11,425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(58)</w:t>
            </w:r>
          </w:p>
        </w:tc>
        <w:tc>
          <w:tcPr>
            <w:tcW w:w="9758" w:type="dxa"/>
            <w:tcBorders/>
            <w:vAlign w:val="center"/>
          </w:tcPr>
          <w:p>
            <w:pPr>
              <w:pStyle w:val="TableContents"/>
              <w:bidi w:val="0"/>
              <w:spacing w:before="0" w:after="283"/>
              <w:jc w:val="both"/>
              <w:rPr/>
            </w:pPr>
            <w:r>
              <w:rPr/>
              <w:t>Includes 15,625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(59)</w:t>
            </w:r>
          </w:p>
        </w:tc>
        <w:tc>
          <w:tcPr>
            <w:tcW w:w="9758" w:type="dxa"/>
            <w:tcBorders/>
            <w:vAlign w:val="center"/>
          </w:tcPr>
          <w:p>
            <w:pPr>
              <w:pStyle w:val="TableContents"/>
              <w:bidi w:val="0"/>
              <w:spacing w:before="0" w:after="283"/>
              <w:jc w:val="both"/>
              <w:rPr/>
            </w:pPr>
            <w:r>
              <w:rPr/>
              <w:t>Includes 13,911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(60)</w:t>
            </w:r>
          </w:p>
        </w:tc>
        <w:tc>
          <w:tcPr>
            <w:tcW w:w="9725" w:type="dxa"/>
            <w:tcBorders/>
            <w:vAlign w:val="center"/>
          </w:tcPr>
          <w:p>
            <w:pPr>
              <w:pStyle w:val="TableContents"/>
              <w:bidi w:val="0"/>
              <w:spacing w:before="0" w:after="283"/>
              <w:jc w:val="both"/>
              <w:rPr/>
            </w:pPr>
            <w:r>
              <w:rPr/>
              <w:t>Includes 1,500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(61)</w:t>
            </w:r>
          </w:p>
        </w:tc>
        <w:tc>
          <w:tcPr>
            <w:tcW w:w="9758" w:type="dxa"/>
            <w:tcBorders/>
            <w:vAlign w:val="center"/>
          </w:tcPr>
          <w:p>
            <w:pPr>
              <w:pStyle w:val="TableContents"/>
              <w:bidi w:val="0"/>
              <w:spacing w:before="0" w:after="283"/>
              <w:jc w:val="both"/>
              <w:rPr/>
            </w:pPr>
            <w:r>
              <w:rPr/>
              <w:t>Includes 10,156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(62)</w:t>
            </w:r>
          </w:p>
        </w:tc>
        <w:tc>
          <w:tcPr>
            <w:tcW w:w="9758" w:type="dxa"/>
            <w:tcBorders/>
            <w:vAlign w:val="center"/>
          </w:tcPr>
          <w:p>
            <w:pPr>
              <w:pStyle w:val="TableContents"/>
              <w:bidi w:val="0"/>
              <w:spacing w:before="0" w:after="283"/>
              <w:jc w:val="both"/>
              <w:rPr/>
            </w:pPr>
            <w:r>
              <w:rPr/>
              <w:t>Includes 23,437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(63)</w:t>
            </w:r>
          </w:p>
        </w:tc>
        <w:tc>
          <w:tcPr>
            <w:tcW w:w="9758" w:type="dxa"/>
            <w:tcBorders/>
            <w:vAlign w:val="center"/>
          </w:tcPr>
          <w:p>
            <w:pPr>
              <w:pStyle w:val="TableContents"/>
              <w:bidi w:val="0"/>
              <w:spacing w:before="0" w:after="283"/>
              <w:jc w:val="both"/>
              <w:rPr/>
            </w:pPr>
            <w:r>
              <w:rPr/>
              <w:t>Includes 16,824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(64)</w:t>
            </w:r>
          </w:p>
        </w:tc>
        <w:tc>
          <w:tcPr>
            <w:tcW w:w="9758" w:type="dxa"/>
            <w:tcBorders/>
            <w:vAlign w:val="center"/>
          </w:tcPr>
          <w:p>
            <w:pPr>
              <w:pStyle w:val="TableContents"/>
              <w:bidi w:val="0"/>
              <w:spacing w:before="0" w:after="283"/>
              <w:jc w:val="both"/>
              <w:rPr/>
            </w:pPr>
            <w:r>
              <w:rPr/>
              <w:t>Includes 12,158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(65)</w:t>
            </w:r>
          </w:p>
        </w:tc>
        <w:tc>
          <w:tcPr>
            <w:tcW w:w="9758" w:type="dxa"/>
            <w:tcBorders/>
            <w:vAlign w:val="center"/>
          </w:tcPr>
          <w:p>
            <w:pPr>
              <w:pStyle w:val="TableContents"/>
              <w:bidi w:val="0"/>
              <w:spacing w:before="0" w:after="283"/>
              <w:jc w:val="both"/>
              <w:rPr/>
            </w:pPr>
            <w:r>
              <w:rPr/>
              <w:t>Includes 64,409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(66)</w:t>
            </w:r>
          </w:p>
        </w:tc>
        <w:tc>
          <w:tcPr>
            <w:tcW w:w="9725" w:type="dxa"/>
            <w:tcBorders/>
            <w:vAlign w:val="center"/>
          </w:tcPr>
          <w:p>
            <w:pPr>
              <w:pStyle w:val="TableContents"/>
              <w:bidi w:val="0"/>
              <w:spacing w:before="0" w:after="283"/>
              <w:jc w:val="both"/>
              <w:rPr/>
            </w:pPr>
            <w:r>
              <w:rPr/>
              <w:t>Includes 3,906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(67)</w:t>
            </w:r>
          </w:p>
        </w:tc>
        <w:tc>
          <w:tcPr>
            <w:tcW w:w="9758" w:type="dxa"/>
            <w:tcBorders/>
            <w:vAlign w:val="center"/>
          </w:tcPr>
          <w:p>
            <w:pPr>
              <w:pStyle w:val="TableContents"/>
              <w:bidi w:val="0"/>
              <w:spacing w:before="0" w:after="283"/>
              <w:jc w:val="both"/>
              <w:rPr/>
            </w:pPr>
            <w:r>
              <w:rPr/>
              <w:t>Includes 21,037 shares of common stock issuable upon exercise of warrants held by selling stockholder.</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41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(68)</w:t>
            </w:r>
          </w:p>
        </w:tc>
        <w:tc>
          <w:tcPr>
            <w:tcW w:w="9725" w:type="dxa"/>
            <w:tcBorders/>
            <w:vAlign w:val="center"/>
          </w:tcPr>
          <w:p>
            <w:pPr>
              <w:pStyle w:val="TableContents"/>
              <w:bidi w:val="0"/>
              <w:spacing w:before="0" w:after="283"/>
              <w:jc w:val="both"/>
              <w:rPr/>
            </w:pPr>
            <w:r>
              <w:rPr/>
              <w:t>Includes 3,000 shares of common stock issuable upon exercise of warrants held by selling stockholder.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r_020"/>
      <w:bookmarkEnd w:id="21"/>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 selling stockholders may only sell their shares of common stock pursuant to this prospectus at a fixed price of $4.00 per share until such time as our common stock is quoted on the OTCQB, or another public trading market for the common stock otherwise develops. At and after such time, the selling stockholders may sell all or a portion of their shares through public or private transactions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purchases by a broker-dealer as principal and resale by such broker-dealer for its own account pursuant to this prospectus;</w:t>
            </w:r>
          </w:p>
        </w:tc>
      </w:tr>
    </w:tbl>
    <w:p>
      <w:pPr>
        <w:pStyle w:val="TextBody"/>
        <w:bidi w:val="0"/>
        <w:spacing w:before="0" w:after="283"/>
        <w:jc w:val="left"/>
        <w:rPr/>
      </w:pPr>
      <w:r>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block trades in which the broker-dealer so engaged will attempt to sell the shares as agent but may position and resell a portion of the block as principal to facilitate the transaction;</w:t>
            </w:r>
          </w:p>
        </w:tc>
      </w:tr>
    </w:tbl>
    <w:p>
      <w:pPr>
        <w:pStyle w:val="TextBody"/>
        <w:bidi w:val="0"/>
        <w:spacing w:before="0" w:after="283"/>
        <w:jc w:val="left"/>
        <w:rPr/>
      </w:pPr>
      <w:r>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an over-the-counter distribution in accordance with the rules of the applicable exchange;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trading plans entered into by a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bidi w:val="0"/>
        <w:spacing w:before="0" w:after="283"/>
        <w:jc w:val="left"/>
        <w:rPr/>
      </w:pPr>
      <w:r>
        <w:rPr/>
        <w:t> </w:t>
      </w:r>
    </w:p>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both"/>
              <w:rPr/>
            </w:pPr>
            <w:r>
              <w:rPr/>
              <w:t>short sales;</w:t>
            </w:r>
          </w:p>
        </w:tc>
      </w:tr>
    </w:tbl>
    <w:p>
      <w:pPr>
        <w:pStyle w:val="TextBody"/>
        <w:bidi w:val="0"/>
        <w:spacing w:before="0" w:after="283"/>
        <w:jc w:val="left"/>
        <w:rPr/>
      </w:pPr>
      <w:r>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pPr>
            <w:r>
              <w:rPr/>
              <w:t>distribution to employees, members, limited partners or stockholders of the selling stockholders;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283"/>
        <w:jc w:val="left"/>
        <w:rPr/>
      </w:pPr>
      <w:r>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by pledge to secured debts and other obligations;</w:t>
            </w:r>
          </w:p>
        </w:tc>
      </w:tr>
    </w:tbl>
    <w:p>
      <w:pPr>
        <w:pStyle w:val="TextBody"/>
        <w:bidi w:val="0"/>
        <w:spacing w:before="0" w:after="283"/>
        <w:jc w:val="left"/>
        <w:rPr/>
      </w:pPr>
      <w:r>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pPr>
            <w:r>
              <w:rPr/>
              <w:t>delayed delivery arrangements;</w:t>
            </w:r>
          </w:p>
        </w:tc>
      </w:tr>
    </w:tbl>
    <w:p>
      <w:pPr>
        <w:pStyle w:val="TextBody"/>
        <w:bidi w:val="0"/>
        <w:spacing w:before="0" w:after="283"/>
        <w:jc w:val="left"/>
        <w:rPr/>
      </w:pPr>
      <w:r>
        <w:rPr/>
        <w:t> </w:t>
      </w:r>
    </w:p>
    <w:tbl>
      <w:tblPr>
        <w:tblW w:w="3693" w:type="dxa"/>
        <w:jc w:val="left"/>
        <w:tblInd w:w="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pPr>
            <w:r>
              <w:rPr/>
              <w:t>to or through underwriters or agents;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283"/>
        <w:jc w:val="left"/>
        <w:rPr/>
      </w:pPr>
      <w:r>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pPr>
            <w:r>
              <w:rPr/>
              <w:t>in privately negotiated transactions;</w:t>
            </w:r>
          </w:p>
        </w:tc>
      </w:tr>
    </w:tbl>
    <w:p>
      <w:pPr>
        <w:pStyle w:val="TextBody"/>
        <w:bidi w:val="0"/>
        <w:spacing w:before="0" w:after="283"/>
        <w:jc w:val="left"/>
        <w:rPr/>
      </w:pPr>
      <w:r>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pPr>
            <w:r>
              <w:rPr/>
              <w:t>in options transactions;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a combination of any of the above methods of sale, as described below, or any other method permitted pursuant to applicable law.</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options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are involved in selling the common stock or interests therein may be deemed to be “underwriters” within the meaning of Section 2(a)(11) of the Securities Act. In such event, any commissions received by such broker-dealers or agents and any profit on the resale of the shares purchased by them may be deemed to be underwriting commissions or discounts under the Securities Act. Each selling stockholder in the Private Placement has informed us that it does not have any agreement or understanding, directly or indirectly, with any person to distribute the common stock. If a selling stockholder is deemed to be an “underwriter” within the meaning of the Securities Act, it will be subject to the prospectus delivery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this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keep this registration statement of which this prospectus constitutes a part effective for five years from the date it is declared effective by the SEC or until the date on which all of the shares required to be registered by us have been transferred other than to certain enumerated permitted assignees under the Registration Rights Agreement. See the section of this prospectus captioned “</w:t>
      </w:r>
      <w:r>
        <w:rPr>
          <w:rFonts w:ascii="Times New Roman;Times;Serif" w:hAnsi="Times New Roman;Times;Serif"/>
          <w:b w:val="false"/>
          <w:i/>
          <w:caps w:val="false"/>
          <w:smallCaps w:val="false"/>
          <w:sz w:val="20"/>
        </w:rPr>
        <w:t>Shares Eligible for Future Sale —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r_021"/>
      <w:bookmarkEnd w:id="22"/>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capital stock consisting of 300,000,000 shares of common stock, par value $0.0001 per share, and 10,000,000 shares of preferred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17, 2023, we had 24,832,814 shares of common stock issued and outstanding, and no shares of preferred stock issued and outstanding. Unless stated otherwise, the following discussion summarizes the term and provisions of our amended and restated certificate of incorporation and our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Preemptive or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redemption or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to Receive Liquidation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17, 2023, we had outstanding stock options to purchase an aggregate of 1,594,800 shares of our common stock, with a weighted-average exercise price of $0.61 per share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17, 2023, we had outstanding warrants to purchase an aggregate of 1,079,290 shares of our common stock, with a weighted-average exercise price of $2.63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Registration Rights Agreement that we entered into in connection with the Merger and the Private Placement, see “</w:t>
      </w:r>
      <w:r>
        <w:rPr>
          <w:rFonts w:ascii="Times New Roman;Times;Serif" w:hAnsi="Times New Roman;Times;Serif"/>
          <w:b w:val="false"/>
          <w:i/>
          <w:caps w:val="false"/>
          <w:smallCaps w:val="false"/>
          <w:sz w:val="20"/>
        </w:rPr>
        <w:t>Completion of Acquisition or Disposition of Assets—The Merger and Related Transactions—Registration Rights</w:t>
      </w:r>
      <w:r>
        <w:rPr>
          <w:rFonts w:ascii="Times New Roman;Times;Serif" w:hAnsi="Times New Roman;Times;Serif"/>
          <w:b w:val="false"/>
          <w:i w:val="false"/>
          <w:caps w:val="false"/>
          <w:smallCaps w:val="false"/>
          <w:sz w:val="20"/>
        </w:rPr>
        <w:t>” above. All descriptions of the Registration Rights Agreement herein are qualified in their entirety by reference to the text thereof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DGCL, our amended and restated certificate of incorporation, and our amended and restated bylaws following the Private Placement could have the effect of delaying, deferring, or discouraging another person from acquiring control of our Company by means of a tender offer, a proxy contest or otherwise, or to remove incumbent officers and directors.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before the stockholder became interested, our board of directors approved either the business combination or the transaction which resulted in the stockholder becoming an interested stockholder;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a business combination to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both"/>
              <w:rPr/>
            </w:pPr>
            <w:r>
              <w:rPr/>
              <w:t>any merger or consolidation involving the corporation and the interested stockholder;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sale, transfer, lease, pledge, or other disposition involving the interested stockholder of 10% or more of the assets of the corporation;</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subject to exceptions, any transaction that results in the issuance of transfer by the corporation of any stock of the corporation to the interested stockholder;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 and Amended and Restated Bylaw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Board Vacancies</w:t>
            </w:r>
            <w:r>
              <w:rPr/>
              <w:t>. Our amended and restated bylaws and certificate of incorporation provide, subject to the special rights of the holders of any series of preferred stock to 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Classified Board</w:t>
            </w:r>
            <w:r>
              <w:rPr/>
              <w:t>. Our amended and restated certificate of incorporation and amended and restated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Directors Removed Only for Cause</w:t>
            </w:r>
            <w:r>
              <w:rPr/>
              <w:t>. Our amended and restated certificate of incorporation provide that stockholders may remove directors only for cause and only by the affirmative vote of the holders of at least two-thirds (2/3) of the voting power of the then-outstanding shares of our capital stock entitled to vote generally in the election of directors, voting together as a single class.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Supermajority Requirements for Amendments of Our Amended and Restated Certificate of Incorporation and Amended and Restated Bylaws</w:t>
            </w:r>
            <w:r>
              <w:rPr/>
              <w:t>. Our amended and restated certificate of incorporation further provide that the affirmative vote of holders of at least 66 2/3% of our capital 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capital stock entitled to vote generally in the election of directors, voting together as a single class, required to amend or repeal our amended and restated bylaws, although our amended and restated bylaws may be amended by the approval of a majority of the Whole Board.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Stockholder Action; Special Meetings of Stockholders</w:t>
            </w:r>
            <w:r>
              <w:rPr/>
              <w:t>. Our amended and restated certificate of incorporation provide that our stockholders 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Advance Notice Requirements for Stockholder Proposals and Director Nominations</w:t>
            </w:r>
            <w:r>
              <w:rPr/>
              <w:t>. 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tc>
      </w:tr>
    </w:tbl>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firstLine="5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No Cumulative Voting</w:t>
            </w:r>
            <w:r>
              <w:rPr/>
              <w:t>. The DGCL provides that stockholders are not entitled to the right to cumulate votes in the election of directors unless a corporation’s certificate of incorporation provides otherwise. Our amended and restated certificate of incorporation and amended and restated bylaws do not provide for cumulative voting.</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Issuance of Undesignated Preferred Stock</w:t>
            </w:r>
            <w:r>
              <w:rPr/>
              <w:t>. Our amended and restated certificate of incorporation provides that our board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Choice of Forum</w:t>
            </w:r>
            <w:r>
              <w:rPr/>
              <w:t>. Our amended and restated certificate of incorporation provides that, unless we consent in writing to the selection of an alternative forum 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shares of our capital stock shall be deemed to have notice of and consented to the forum selection provisions in the amended and restated certificate of incorporation.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 on Liability and Indemnification of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 The transfer agent’s address is 18 Lafayette Place, Woodmere, NY 11598, and its telephone number is (212) 828-8436.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Quotation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NOT LISTED ON A NATIONAL SECURITIES EXCHANGE OR ANY OTHER EXCHANGE, OR QUOTED ON AN OVER THE COUNTER MARKET. WE INTEND TO SEEK TO CAUSE OUR COMMON STOCK TO BE QUOTED ON THE OTC MARKETS QB TIER AS SOON AS PRACTICABLE FOLLOWING THE EFFECTIVENESS OF THE REGISTRATION STATEMENT. HOWEVER, WE CANNOT ASSURE YOU THAT WE WILL BE ABLE TO DO SO AND, EVEN IF WE DO SO, THERE CAN BE NO ASSURANCE THAT OUR COMMON STOCK WILL CONTINUE TO BE QUOTED ON THE OTC MARKETS OR QUOTED OR LISTED ON ANY OTHER MARKET OR EXCHANGE, OR THAT AN ACTIVE TRADING MARKET FOR OUR COMMON STOCK WILL DEVELOP OR CONTINUE.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r_022"/>
      <w:bookmarkEnd w:id="23"/>
      <w:r>
        <w:rPr>
          <w:rFonts w:ascii="Times New Roman;Times;Serif" w:hAnsi="Times New Roman;Times;Serif"/>
          <w:b/>
          <w:i w:val="false"/>
          <w:caps/>
          <w:sz w:val="20"/>
        </w:rPr>
        <w:t>SHARES ELIGIBLE FOR FUTURE SALE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is not a public market for our common stock. Future sales of our common stock, including shares issued upon the exercise of options or warrants that we may issue, in the public market after the Merger, or the perception that those sales may occur, could cause the prevailing price for our common stock to fall or impair our ability to raise equity capital in the future. As described below, only a limited number of shares of our common stock will be available for sale in the public market for a period of several months after consummation of the Merger due to contractual and legal restrictions on resale described below. Future sales of our common stock in the public market either before (to the extent permitted) or after restrictions lapse, or the perception that those sales may occur, could adversely affect the prevailing price of our common stock at such time and our ability to raise equity capital at a time and price we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17, 2023, we had 24,832,814 shares of common stock outstanding, of which our directors and executive officers beneficially own an aggregate of 4,188,025 shares. Of those outstanding shares, no shares of common stock are freely tradable, without restriction, as of November 17, 2023. No shares issued in connection with the Merger or the Private Placement can be publicly sold under Rule 144 under the Securities Act until at least 12 months have elapsed from the date on which we provided Form 10 information in our Form 8-K, as amended by the Form 8-K/A filed with the SEC on August 16,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initial closing of the Private Placement, all officers, directors, and principal stockholders (with 5% or more of the common stock of the Company) agreed, subject to certain exceptions, not to dispose of or hedge any shares of common stock or securities convertible into or exchangeable for shares of common stock during the period from July 31, 2023, the date of the lockup agreement, continuing through the date 12 months after the date of the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lock-up periods set forth in the agreements described above, 17,990,333 shares of our common stock will be eligible for sale in the public market in compliance with Rule 144 or another exemption under the Securities Act or pursuant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Restricted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24,832,814 shares of common stock outstanding, all of such shares are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promulgated under the Securities Act, sales of the securities of a former shell company, such as us, under that rule are not permitted (i) until at least 12 months have elapsed from the date on which we provided Form 10 information in our Form 8-K filed with the SEC, as amended by the Form 8-K/A filed with the SEC on August 16, 2023, and (ii) unless at the time of a proposed sale, we are subject to the reporting requirements of Section 13 or 15(d) of the Exchange Act and have filed all reports and other materials required to be filed by Section 13 or 15(d) of the Exchange Act, as applicable, during the preceding 12 months, other than Current Reports on Form 8-K. We intend to register such shares for sale under the Securities Act but are currently a “voluntary filer” and are not subject to the reporting requirements of Section 13 or Section 15(d) of the Exchange Act. As a result, unless we register such shares for sale under the Securities Act, most of our stockholders will be forced to hold their shares of our common stock for at least that 12-month period before they are eligible to sell those shares, and even after that 12-month period, sales may not be made under Rule 144 unless we and the selling stockholders are in compliance with other requirements of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Rule 144 provides that (i) any of our non-affiliates that has held restricted common stock for at least 12 months is thereafter entitled to sell its restricted stock freely and without restriction, provided that we remain compliant and current with our SEC reporting obligations, and (ii) any of our affiliates, which includes our directors, executive officers and other person in control of us, that has held restricted common stock for at least 12 months is thereafter entitled to sell its restricted stock subject to the following restrictions: (a) we are compliant and current with our SEC reporting obligations, (b) certain manner of sale provisions are satisfied, (c) a Form 144 is filed with the SEC, and (d) certain volume limitations are satisfied, which limit the sale of shares within any three-month period to a number of shares that does not exceed 1% of the total number of outstanding shares or, if our common stock is then listed or quoted for trading on a national securities exchange, then the greater of 1% of the total number of outstanding shares and the average weekly trading volume of our common stock during the four calendar weeks preceding the filing of the Form 144 with respect to the sale. A person who has ceased to be an affiliate at least three months immediately preceding the sale and who has owned such shares of common stock for at least one year is entitled to sell the shares under Rule 144 without regard to any of the limitations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 under the Securities Act provides that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shares of common stock may be sold in some other manner outside the United States without requiring registration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Merger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agreements described above,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the Private Placement, we entered into the Registration Rights Agreement, pursuant to which we agreed that promptly, but no later than 60 calendar days from the final closing of the Private Placement, we would file, subject to customary exceptions, this Registration Statement covering the Registrable Securities. We also undertook to use our commercially reasonable efforts to ensure that such Registration Statement is declared effective within 120 calendar days after the final closing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if any Registration Event occurs,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(1) any Registrable Securities removed from the Registration Statement in response to a comment from the staff of the SEC limiting the number of shares of common stock which may be included in the Registration Statement (a “Cutback Comment”), (2) any Registrable Securities that may be resold without manner of sale restrictions, current information requirements, volume limitations or other limitations under Rule 144 or another exemption from registration under the Securities Act, (3) any Registrable Securities excluded from a registration statement because a holder fails to provide information concerning the holder and the manner of distribution of the holder’s Registrable Securities that is required by SEC rules to be disclosed, and (4) any circumstance in which the SEC does not declare the Registration Statement effective on or before 120 days after the final closing of the Private Placement, and the reason for the SEC’s determination is that (a) the offering of any of the Registrable Securities constitutes a primary offering of securities by the Company, (b) Rule 415 of the Securities Act may not be relied upon for the registration of the resale of any or all of the Registrable Securities, and/or (c) a holder of any Registrable Securities must be named as an underwriter and such holder does not consent to be so named in the Registration Statement. Notwithstanding the previous sentence, if the SEC does not declare the Registration Statement effective before the Registration Effectiveness Date, in certain circumstances we may still be liable for liquidated damages if we do not continue to use our commercially reasonable efforts at the first opportunity that is permitted by the SEC to register for resale all such Registrable Securities, using one or more registration statements that we are then entitled to use. Any cutback resulting from a Cutback Comment shall be applied to the Registrable Securities pro rata based on the total number of such shares held by or issuable to each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file with the SEC a registration statement under the Securities Act covering the shares of common stock that are outstanding or reserved for issuance under the Serve Plan and 2023 Plan. Such registration statement is expected to be filed as soon as practicable after 60 days following the date Serve’s “Form 10 information” was filed with the SEC on Form 8-K, as amended by the Form 8-K/A filed with the SEC on August 16, 2023. Accordingly, once such registration statement become effective, shares registered thereunder will be available for sale in the open market following its effective date, subject to Rule 144 volume limitations and the lock-up agreements described above,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r_023"/>
      <w:bookmarkEnd w:id="24"/>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our common stock being offered by this prospectus will be passed upon for us by Orrick, Herrington &amp; Sutcliffe LLP, Boston, Massachusetts.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5" w:name="r_024"/>
      <w:bookmarkEnd w:id="25"/>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Serve as of and for each of the years in the two-year period ended December 31, 2022 and 2021, have been audited by dbbmckennon, independent registered public accounting firm, as set forth in their report (which contains an explanatory paragraph describing conditions that raise substantial doubt about Serve’s ability to continue as a going concern as described in Note 2 to the financial statements) included in this registration statement. Such financial statements have been included herein in reliance upon such report given 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r_025"/>
      <w:bookmarkEnd w:id="26"/>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this registration statement on Form S-1 under the Securities Act with respect to the shares of common stock being offered by this prospectus. This prospectus, which constitutes a part of this registration statement, does not contain all of the information in this registration statement and its exhibits. For further information with respect to us and the common stock offered by this prospectus, you should refer to this registration statement and the exhibits filed as part of this document. Statements contained in this prospectus as to the contents of any contract or any other document referred to are not necessarily complete, and in each instance, we refer you to the copy of the contract or other document filed as an exhibit to this registration statement. Each of these statements is qualified in all respects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and file annual, quarterly and current reports, proxy statements and other information with the SEC. You can read our SEC filings, including this registration statement, over the Internet on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You may also request a copy of these filings, at no cost, by writing or telephoning us at: Serve Robotics Inc. 730 Broadway, Redwood City, California 94063, (818) 860-1352.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r_026"/>
      <w:bookmarkEnd w:id="27"/>
      <w:r>
        <w:rPr>
          <w:rFonts w:ascii="Times New Roman;Times;Serif" w:hAnsi="Times New Roman;Times;Serif"/>
          <w:b/>
          <w:i w:val="false"/>
          <w:caps w:val="false"/>
          <w:smallCaps w:val="false"/>
          <w:sz w:val="20"/>
        </w:rPr>
        <w:t>INDEX TO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 Financial Statements for the Years Ended December 31, 2022 and 2021</w:t>
      </w:r>
    </w:p>
    <w:p>
      <w:pPr>
        <w:pStyle w:val="TextBody"/>
        <w:bidi w:val="0"/>
        <w:spacing w:before="0" w:after="0"/>
        <w:jc w:val="center"/>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4775"/>
        <w:gridCol w:w="60"/>
        <w:gridCol w:w="455"/>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4775" w:type="dxa"/>
            <w:tcBorders/>
            <w:shd w:fill="CCEEFF" w:val="clear"/>
            <w:vAlign w:val="center"/>
          </w:tcPr>
          <w:p>
            <w:pPr>
              <w:pStyle w:val="TableContents"/>
              <w:bidi w:val="0"/>
              <w:spacing w:before="0" w:after="283"/>
              <w:jc w:val="left"/>
              <w:rPr/>
            </w:pPr>
            <w:hyperlink w:anchor="a_001">
              <w:r>
                <w:rPr>
                  <w:rStyle w:val="InternetLink"/>
                  <w:sz w:val="20"/>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F-4</w:t>
            </w:r>
          </w:p>
        </w:tc>
      </w:tr>
      <w:tr>
        <w:trPr/>
        <w:tc>
          <w:tcPr>
            <w:tcW w:w="4775" w:type="dxa"/>
            <w:tcBorders/>
            <w:vAlign w:val="center"/>
          </w:tcPr>
          <w:p>
            <w:pPr>
              <w:pStyle w:val="TableContents"/>
              <w:bidi w:val="0"/>
              <w:spacing w:before="0" w:after="283"/>
              <w:jc w:val="left"/>
              <w:rPr/>
            </w:pPr>
            <w:hyperlink w:anchor="a_002">
              <w:r>
                <w:rPr>
                  <w:rStyle w:val="InternetLink"/>
                  <w:sz w:val="20"/>
                </w:rPr>
                <w:t>Balance Sheets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F-5</w:t>
            </w:r>
          </w:p>
        </w:tc>
      </w:tr>
      <w:tr>
        <w:trPr/>
        <w:tc>
          <w:tcPr>
            <w:tcW w:w="4775" w:type="dxa"/>
            <w:tcBorders/>
            <w:shd w:fill="CCEEFF" w:val="clear"/>
            <w:vAlign w:val="center"/>
          </w:tcPr>
          <w:p>
            <w:pPr>
              <w:pStyle w:val="TableContents"/>
              <w:bidi w:val="0"/>
              <w:spacing w:before="0" w:after="283"/>
              <w:jc w:val="left"/>
              <w:rPr/>
            </w:pPr>
            <w:hyperlink w:anchor="a_003">
              <w:r>
                <w:rPr>
                  <w:rStyle w:val="InternetLink"/>
                  <w:sz w:val="20"/>
                </w:rPr>
                <w:t>Statements of Operations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F-6</w:t>
            </w:r>
          </w:p>
        </w:tc>
      </w:tr>
      <w:tr>
        <w:trPr/>
        <w:tc>
          <w:tcPr>
            <w:tcW w:w="4775" w:type="dxa"/>
            <w:tcBorders/>
            <w:vAlign w:val="center"/>
          </w:tcPr>
          <w:p>
            <w:pPr>
              <w:pStyle w:val="TableContents"/>
              <w:bidi w:val="0"/>
              <w:spacing w:before="0" w:after="283"/>
              <w:jc w:val="left"/>
              <w:rPr/>
            </w:pPr>
            <w:hyperlink w:anchor="a_004">
              <w:r>
                <w:rPr>
                  <w:rStyle w:val="InternetLink"/>
                  <w:sz w:val="20"/>
                </w:rPr>
                <w:t>Statements of Changes in Stockholders’ Deficit</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F-7</w:t>
            </w:r>
          </w:p>
        </w:tc>
      </w:tr>
      <w:tr>
        <w:trPr/>
        <w:tc>
          <w:tcPr>
            <w:tcW w:w="4775" w:type="dxa"/>
            <w:tcBorders/>
            <w:shd w:fill="CCEEFF" w:val="clear"/>
            <w:vAlign w:val="center"/>
          </w:tcPr>
          <w:p>
            <w:pPr>
              <w:pStyle w:val="TableContents"/>
              <w:bidi w:val="0"/>
              <w:spacing w:before="0" w:after="283"/>
              <w:jc w:val="left"/>
              <w:rPr/>
            </w:pPr>
            <w:hyperlink w:anchor="a_005">
              <w:r>
                <w:rPr>
                  <w:rStyle w:val="InternetLink"/>
                  <w:sz w:val="20"/>
                </w:rPr>
                <w:t>Statements of Cash Flows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F-8</w:t>
            </w:r>
          </w:p>
        </w:tc>
      </w:tr>
      <w:tr>
        <w:trPr/>
        <w:tc>
          <w:tcPr>
            <w:tcW w:w="4775" w:type="dxa"/>
            <w:tcBorders/>
            <w:vAlign w:val="center"/>
          </w:tcPr>
          <w:p>
            <w:pPr>
              <w:pStyle w:val="TableContents"/>
              <w:bidi w:val="0"/>
              <w:spacing w:before="0" w:after="283"/>
              <w:jc w:val="left"/>
              <w:rPr/>
            </w:pPr>
            <w:hyperlink w:anchor="a_006">
              <w:r>
                <w:rPr>
                  <w:rStyle w:val="InternetLink"/>
                  <w:sz w:val="20"/>
                </w:rPr>
                <w:t>Notes to Financial Statements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F-9</w:t>
            </w:r>
          </w:p>
        </w:tc>
      </w:tr>
    </w:tbl>
    <w:p>
      <w:pPr>
        <w:pStyle w:val="TextBody"/>
        <w:bidi w:val="0"/>
        <w:spacing w:before="0" w:after="0"/>
        <w:ind w:left="116"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Financial Statements for the Nine Months Ended September 30, 2023 and 2022</w:t>
      </w:r>
    </w:p>
    <w:p>
      <w:pPr>
        <w:pStyle w:val="TextBody"/>
        <w:bidi w:val="0"/>
        <w:spacing w:before="0" w:after="0"/>
        <w:ind w:left="116"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6860"/>
        <w:gridCol w:w="60"/>
        <w:gridCol w:w="455"/>
      </w:tblGrid>
      <w:tr>
        <w:trPr/>
        <w:tc>
          <w:tcPr>
            <w:tcW w:w="6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860" w:type="dxa"/>
            <w:tcBorders/>
            <w:shd w:fill="CCEEFF" w:val="clear"/>
            <w:vAlign w:val="center"/>
          </w:tcPr>
          <w:p>
            <w:pPr>
              <w:pStyle w:val="TableContents"/>
              <w:bidi w:val="0"/>
              <w:spacing w:before="0" w:after="283"/>
              <w:jc w:val="left"/>
              <w:rPr/>
            </w:pPr>
            <w:hyperlink w:anchor="b_001">
              <w:r>
                <w:rPr>
                  <w:rStyle w:val="InternetLink"/>
                  <w:sz w:val="20"/>
                </w:rPr>
                <w:t>Unaudited Condensed Consolidated Balance Sheets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F-25</w:t>
            </w:r>
          </w:p>
        </w:tc>
      </w:tr>
      <w:tr>
        <w:trPr/>
        <w:tc>
          <w:tcPr>
            <w:tcW w:w="6860" w:type="dxa"/>
            <w:tcBorders/>
            <w:vAlign w:val="center"/>
          </w:tcPr>
          <w:p>
            <w:pPr>
              <w:pStyle w:val="TableContents"/>
              <w:bidi w:val="0"/>
              <w:spacing w:before="0" w:after="283"/>
              <w:jc w:val="left"/>
              <w:rPr/>
            </w:pPr>
            <w:hyperlink w:anchor="b_002">
              <w:r>
                <w:rPr>
                  <w:rStyle w:val="InternetLink"/>
                  <w:sz w:val="20"/>
                </w:rPr>
                <w:t>Unaudited Condensed Consolidated Statements of Operations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F-26</w:t>
            </w:r>
          </w:p>
        </w:tc>
      </w:tr>
      <w:tr>
        <w:trPr/>
        <w:tc>
          <w:tcPr>
            <w:tcW w:w="6860" w:type="dxa"/>
            <w:tcBorders/>
            <w:shd w:fill="CCEEFF" w:val="clear"/>
            <w:vAlign w:val="center"/>
          </w:tcPr>
          <w:p>
            <w:pPr>
              <w:pStyle w:val="TableContents"/>
              <w:bidi w:val="0"/>
              <w:spacing w:before="0" w:after="283"/>
              <w:jc w:val="left"/>
              <w:rPr/>
            </w:pPr>
            <w:hyperlink w:anchor="b_003">
              <w:r>
                <w:rPr>
                  <w:rStyle w:val="InternetLink"/>
                  <w:sz w:val="20"/>
                </w:rPr>
                <w:t>Unaudited Condensed Consolidated Statements of Changes in Stockholders’ Deficit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F-27</w:t>
            </w:r>
          </w:p>
        </w:tc>
      </w:tr>
      <w:tr>
        <w:trPr/>
        <w:tc>
          <w:tcPr>
            <w:tcW w:w="6860" w:type="dxa"/>
            <w:tcBorders/>
            <w:vAlign w:val="center"/>
          </w:tcPr>
          <w:p>
            <w:pPr>
              <w:pStyle w:val="TableContents"/>
              <w:bidi w:val="0"/>
              <w:spacing w:before="0" w:after="283"/>
              <w:jc w:val="left"/>
              <w:rPr/>
            </w:pPr>
            <w:hyperlink w:anchor="b_004">
              <w:r>
                <w:rPr>
                  <w:rStyle w:val="InternetLink"/>
                  <w:sz w:val="20"/>
                </w:rPr>
                <w:t>Unaudited Condensed Consolidated Statements of Cash Flows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F-28</w:t>
            </w:r>
          </w:p>
        </w:tc>
      </w:tr>
      <w:tr>
        <w:trPr/>
        <w:tc>
          <w:tcPr>
            <w:tcW w:w="6860" w:type="dxa"/>
            <w:tcBorders/>
            <w:shd w:fill="CCEEFF" w:val="clear"/>
            <w:vAlign w:val="center"/>
          </w:tcPr>
          <w:p>
            <w:pPr>
              <w:pStyle w:val="TableContents"/>
              <w:bidi w:val="0"/>
              <w:spacing w:before="0" w:after="283"/>
              <w:jc w:val="left"/>
              <w:rPr/>
            </w:pPr>
            <w:hyperlink w:anchor="b_005">
              <w:r>
                <w:rPr>
                  <w:rStyle w:val="InternetLink"/>
                  <w:sz w:val="20"/>
                </w:rPr>
                <w:t>Notes to Unaudited Condensed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 and Patricia Acquisition Corp.</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Combined Pro Forma Financial Statements for the Year Ended December 31, 2022 and the Nine Months Ended September 30, 2023</w:t>
      </w:r>
    </w:p>
    <w:p>
      <w:pPr>
        <w:pStyle w:val="TextBody"/>
        <w:bidi w:val="0"/>
        <w:spacing w:before="0" w:after="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8570"/>
        <w:gridCol w:w="60"/>
        <w:gridCol w:w="455"/>
      </w:tblGrid>
      <w:tr>
        <w:trPr/>
        <w:tc>
          <w:tcPr>
            <w:tcW w:w="8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8570" w:type="dxa"/>
            <w:tcBorders/>
            <w:shd w:fill="CCEEFF" w:val="clear"/>
            <w:vAlign w:val="center"/>
          </w:tcPr>
          <w:p>
            <w:pPr>
              <w:pStyle w:val="TableContents"/>
              <w:bidi w:val="0"/>
              <w:spacing w:before="0" w:after="283"/>
              <w:jc w:val="left"/>
              <w:rPr/>
            </w:pPr>
            <w:hyperlink w:anchor="c_001">
              <w:r>
                <w:rPr>
                  <w:rStyle w:val="InternetLink"/>
                  <w:sz w:val="20"/>
                </w:rPr>
                <w:t>Unaudited Pro Forma Combined Financial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F-43</w:t>
            </w:r>
          </w:p>
        </w:tc>
      </w:tr>
      <w:tr>
        <w:trPr/>
        <w:tc>
          <w:tcPr>
            <w:tcW w:w="8570" w:type="dxa"/>
            <w:tcBorders/>
            <w:shd w:fill="FFFFFF" w:val="clear"/>
            <w:vAlign w:val="center"/>
          </w:tcPr>
          <w:p>
            <w:pPr>
              <w:pStyle w:val="TableContents"/>
              <w:bidi w:val="0"/>
              <w:spacing w:before="0" w:after="283"/>
              <w:jc w:val="left"/>
              <w:rPr/>
            </w:pPr>
            <w:hyperlink w:anchor="c_003">
              <w:r>
                <w:rPr>
                  <w:rStyle w:val="InternetLink"/>
                  <w:sz w:val="20"/>
                </w:rPr>
                <w:t>Unaudited Pro Forma Combined Statement of Operations for the Nine Months Ended September 30, 2023</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F-44</w:t>
            </w:r>
          </w:p>
        </w:tc>
      </w:tr>
      <w:tr>
        <w:trPr/>
        <w:tc>
          <w:tcPr>
            <w:tcW w:w="8570" w:type="dxa"/>
            <w:tcBorders/>
            <w:shd w:fill="CCEEFF" w:val="clear"/>
            <w:vAlign w:val="center"/>
          </w:tcPr>
          <w:p>
            <w:pPr>
              <w:pStyle w:val="TableContents"/>
              <w:bidi w:val="0"/>
              <w:spacing w:before="0" w:after="283"/>
              <w:jc w:val="left"/>
              <w:rPr/>
            </w:pPr>
            <w:hyperlink w:anchor="c_004">
              <w:r>
                <w:rPr>
                  <w:rStyle w:val="InternetLink"/>
                  <w:sz w:val="20"/>
                </w:rPr>
                <w:t>Unaudited Pro Forma Combined Statement of Operations for the Year Ended December 31, 2022</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F-45</w:t>
            </w:r>
          </w:p>
        </w:tc>
      </w:tr>
      <w:tr>
        <w:trPr/>
        <w:tc>
          <w:tcPr>
            <w:tcW w:w="8570" w:type="dxa"/>
            <w:tcBorders/>
            <w:shd w:fill="FFFFFF" w:val="clear"/>
            <w:vAlign w:val="center"/>
          </w:tcPr>
          <w:p>
            <w:pPr>
              <w:pStyle w:val="TableContents"/>
              <w:bidi w:val="0"/>
              <w:spacing w:before="0" w:after="283"/>
              <w:jc w:val="left"/>
              <w:rPr/>
            </w:pPr>
            <w:hyperlink w:anchor="c_005">
              <w:r>
                <w:rPr>
                  <w:rStyle w:val="InternetLink"/>
                  <w:sz w:val="20"/>
                </w:rPr>
                <w:t>Notes to Unaudited Pro Forma Financial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F-46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Patricia Acquisition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 Financial Statements for the Years Ended December 31, 2022 and 2021</w:t>
      </w:r>
    </w:p>
    <w:p>
      <w:pPr>
        <w:pStyle w:val="TextBody"/>
        <w:bidi w:val="0"/>
        <w:spacing w:before="0" w:after="0"/>
        <w:jc w:val="center"/>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4775"/>
        <w:gridCol w:w="60"/>
        <w:gridCol w:w="455"/>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4775" w:type="dxa"/>
            <w:tcBorders/>
            <w:shd w:fill="CCEEFF" w:val="clear"/>
            <w:vAlign w:val="center"/>
          </w:tcPr>
          <w:p>
            <w:pPr>
              <w:pStyle w:val="TableContents"/>
              <w:bidi w:val="0"/>
              <w:spacing w:before="0" w:after="283"/>
              <w:jc w:val="left"/>
              <w:rPr/>
            </w:pPr>
            <w:hyperlink w:anchor="d_002">
              <w:r>
                <w:rPr>
                  <w:rStyle w:val="InternetLink"/>
                  <w:sz w:val="20"/>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F-48</w:t>
            </w:r>
          </w:p>
        </w:tc>
      </w:tr>
      <w:tr>
        <w:trPr/>
        <w:tc>
          <w:tcPr>
            <w:tcW w:w="4775" w:type="dxa"/>
            <w:tcBorders/>
            <w:vAlign w:val="center"/>
          </w:tcPr>
          <w:p>
            <w:pPr>
              <w:pStyle w:val="TableContents"/>
              <w:bidi w:val="0"/>
              <w:spacing w:before="0" w:after="283"/>
              <w:jc w:val="left"/>
              <w:rPr/>
            </w:pPr>
            <w:hyperlink w:anchor="d_004">
              <w:r>
                <w:rPr>
                  <w:rStyle w:val="InternetLink"/>
                  <w:sz w:val="20"/>
                </w:rPr>
                <w:t>Balance Sheet</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F-50</w:t>
            </w:r>
          </w:p>
        </w:tc>
      </w:tr>
      <w:tr>
        <w:trPr/>
        <w:tc>
          <w:tcPr>
            <w:tcW w:w="4775" w:type="dxa"/>
            <w:tcBorders/>
            <w:shd w:fill="CCEEFF" w:val="clear"/>
            <w:vAlign w:val="center"/>
          </w:tcPr>
          <w:p>
            <w:pPr>
              <w:pStyle w:val="TableContents"/>
              <w:bidi w:val="0"/>
              <w:spacing w:before="0" w:after="283"/>
              <w:jc w:val="left"/>
              <w:rPr/>
            </w:pPr>
            <w:hyperlink w:anchor="d_005">
              <w:r>
                <w:rPr>
                  <w:rStyle w:val="InternetLink"/>
                  <w:sz w:val="20"/>
                </w:rPr>
                <w:t>Statement of Operations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F-51</w:t>
            </w:r>
          </w:p>
        </w:tc>
      </w:tr>
      <w:tr>
        <w:trPr/>
        <w:tc>
          <w:tcPr>
            <w:tcW w:w="4775" w:type="dxa"/>
            <w:tcBorders/>
            <w:vAlign w:val="center"/>
          </w:tcPr>
          <w:p>
            <w:pPr>
              <w:pStyle w:val="TableContents"/>
              <w:bidi w:val="0"/>
              <w:spacing w:before="0" w:after="283"/>
              <w:jc w:val="left"/>
              <w:rPr/>
            </w:pPr>
            <w:hyperlink w:anchor="d_006">
              <w:r>
                <w:rPr>
                  <w:rStyle w:val="InternetLink"/>
                  <w:sz w:val="20"/>
                </w:rPr>
                <w:t>Statement of Changes in Stockholders’ Deficit</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F-52</w:t>
            </w:r>
          </w:p>
        </w:tc>
      </w:tr>
      <w:tr>
        <w:trPr/>
        <w:tc>
          <w:tcPr>
            <w:tcW w:w="4775" w:type="dxa"/>
            <w:tcBorders/>
            <w:shd w:fill="CCEEFF" w:val="clear"/>
            <w:vAlign w:val="center"/>
          </w:tcPr>
          <w:p>
            <w:pPr>
              <w:pStyle w:val="TableContents"/>
              <w:bidi w:val="0"/>
              <w:spacing w:before="0" w:after="283"/>
              <w:jc w:val="left"/>
              <w:rPr/>
            </w:pPr>
            <w:hyperlink w:anchor="d_007">
              <w:r>
                <w:rPr>
                  <w:rStyle w:val="InternetLink"/>
                  <w:sz w:val="20"/>
                </w:rPr>
                <w:t>Statement of Cash Flows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F-53</w:t>
            </w:r>
          </w:p>
        </w:tc>
      </w:tr>
      <w:tr>
        <w:trPr/>
        <w:tc>
          <w:tcPr>
            <w:tcW w:w="4775" w:type="dxa"/>
            <w:tcBorders/>
            <w:vAlign w:val="center"/>
          </w:tcPr>
          <w:p>
            <w:pPr>
              <w:pStyle w:val="TableContents"/>
              <w:bidi w:val="0"/>
              <w:spacing w:before="0" w:after="283"/>
              <w:jc w:val="left"/>
              <w:rPr/>
            </w:pPr>
            <w:hyperlink w:anchor="d_008">
              <w:r>
                <w:rPr>
                  <w:rStyle w:val="InternetLink"/>
                  <w:sz w:val="20"/>
                </w:rPr>
                <w:t>Notes to Financial Statements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F-54</w:t>
            </w:r>
          </w:p>
        </w:tc>
      </w:tr>
    </w:tbl>
    <w:p>
      <w:pPr>
        <w:pStyle w:val="TextBody"/>
        <w:bidi w:val="0"/>
        <w:spacing w:before="0" w:after="0"/>
        <w:ind w:left="116"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Financial Statements for the Three and Six Months Ended June 2023 and 2022</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4745"/>
        <w:gridCol w:w="60"/>
        <w:gridCol w:w="455"/>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4745" w:type="dxa"/>
            <w:tcBorders/>
            <w:shd w:fill="CCEEFF" w:val="clear"/>
            <w:vAlign w:val="center"/>
          </w:tcPr>
          <w:p>
            <w:pPr>
              <w:pStyle w:val="TableContents"/>
              <w:bidi w:val="0"/>
              <w:spacing w:before="0" w:after="283"/>
              <w:jc w:val="left"/>
              <w:rPr/>
            </w:pPr>
            <w:hyperlink w:anchor="e_004">
              <w:r>
                <w:rPr>
                  <w:rStyle w:val="InternetLink"/>
                  <w:sz w:val="20"/>
                </w:rPr>
                <w:t>Condensed Balance Sheets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F-59</w:t>
            </w:r>
          </w:p>
        </w:tc>
      </w:tr>
      <w:tr>
        <w:trPr/>
        <w:tc>
          <w:tcPr>
            <w:tcW w:w="4745" w:type="dxa"/>
            <w:tcBorders/>
            <w:vAlign w:val="center"/>
          </w:tcPr>
          <w:p>
            <w:pPr>
              <w:pStyle w:val="TableContents"/>
              <w:bidi w:val="0"/>
              <w:spacing w:before="0" w:after="283"/>
              <w:jc w:val="left"/>
              <w:rPr/>
            </w:pPr>
            <w:hyperlink w:anchor="e_005">
              <w:r>
                <w:rPr>
                  <w:rStyle w:val="InternetLink"/>
                  <w:sz w:val="20"/>
                </w:rPr>
                <w:t>Condensed Statements of Operations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F-60</w:t>
            </w:r>
          </w:p>
        </w:tc>
      </w:tr>
      <w:tr>
        <w:trPr/>
        <w:tc>
          <w:tcPr>
            <w:tcW w:w="4745" w:type="dxa"/>
            <w:tcBorders/>
            <w:shd w:fill="CCEEFF" w:val="clear"/>
            <w:vAlign w:val="center"/>
          </w:tcPr>
          <w:p>
            <w:pPr>
              <w:pStyle w:val="TableContents"/>
              <w:bidi w:val="0"/>
              <w:spacing w:before="0" w:after="283"/>
              <w:jc w:val="left"/>
              <w:rPr/>
            </w:pPr>
            <w:hyperlink w:anchor="e_006">
              <w:r>
                <w:rPr>
                  <w:rStyle w:val="InternetLink"/>
                  <w:sz w:val="20"/>
                </w:rPr>
                <w:t>Condensed Statement of Changes in Stockholders’ Deficit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F-61</w:t>
            </w:r>
          </w:p>
        </w:tc>
      </w:tr>
      <w:tr>
        <w:trPr/>
        <w:tc>
          <w:tcPr>
            <w:tcW w:w="4745" w:type="dxa"/>
            <w:tcBorders/>
            <w:vAlign w:val="center"/>
          </w:tcPr>
          <w:p>
            <w:pPr>
              <w:pStyle w:val="TableContents"/>
              <w:bidi w:val="0"/>
              <w:spacing w:before="0" w:after="283"/>
              <w:jc w:val="left"/>
              <w:rPr/>
            </w:pPr>
            <w:hyperlink w:anchor="e_007">
              <w:r>
                <w:rPr>
                  <w:rStyle w:val="InternetLink"/>
                  <w:sz w:val="20"/>
                </w:rPr>
                <w:t>Condensed Statement of Cash Flows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F-62</w:t>
            </w:r>
          </w:p>
        </w:tc>
      </w:tr>
      <w:tr>
        <w:trPr/>
        <w:tc>
          <w:tcPr>
            <w:tcW w:w="4745" w:type="dxa"/>
            <w:tcBorders/>
            <w:shd w:fill="CCEEFF" w:val="clear"/>
            <w:vAlign w:val="center"/>
          </w:tcPr>
          <w:p>
            <w:pPr>
              <w:pStyle w:val="TableContents"/>
              <w:bidi w:val="0"/>
              <w:spacing w:before="0" w:after="283"/>
              <w:jc w:val="left"/>
              <w:rPr/>
            </w:pPr>
            <w:hyperlink w:anchor="e_008">
              <w:r>
                <w:rPr>
                  <w:rStyle w:val="InternetLink"/>
                  <w:sz w:val="20"/>
                </w:rPr>
                <w:t>Notes to Condensed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F-63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INDEPENDENT AUDITOR’S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50"/>
        <w:gridCol w:w="355"/>
      </w:tblGrid>
      <w:tr>
        <w:trPr/>
        <w:tc>
          <w:tcPr>
            <w:tcW w:w="985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sz w:val="20"/>
                </w:rPr>
                <w:t>REPORT OF INDEPENDENT REGISTERED PUBLIC ACCOUNTING FIRM</w:t>
              </w:r>
            </w:hyperlink>
            <w:hyperlink w:anchor="a_001">
              <w:r>
                <w:rPr>
                  <w:rStyle w:val="InternetLink"/>
                  <w:rFonts w:ascii="Times New Roman;Times;Serif" w:hAnsi="Times New Roman;Times;Serif"/>
                  <w:sz w:val="20"/>
                </w:rPr>
                <w:t xml:space="preserve"> (PCAOB ID: 3501)</w:t>
              </w:r>
            </w:hyperlink>
          </w:p>
        </w:tc>
        <w:tc>
          <w:tcPr>
            <w:tcW w:w="355" w:type="dxa"/>
            <w:tcBorders/>
            <w:shd w:fill="CCEEFF" w:val="clear"/>
            <w:vAlign w:val="center"/>
          </w:tcPr>
          <w:p>
            <w:pPr>
              <w:pStyle w:val="TableContents"/>
              <w:bidi w:val="0"/>
              <w:spacing w:before="0" w:after="283"/>
              <w:jc w:val="center"/>
              <w:rPr/>
            </w:pPr>
            <w:r>
              <w:rPr/>
              <w:t>F-4</w:t>
            </w:r>
          </w:p>
        </w:tc>
      </w:tr>
      <w:tr>
        <w:trPr/>
        <w:tc>
          <w:tcPr>
            <w:tcW w:w="985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center"/>
              <w:rPr/>
            </w:pPr>
            <w:r>
              <w:rPr/>
              <w:t> </w:t>
            </w:r>
          </w:p>
        </w:tc>
      </w:tr>
      <w:tr>
        <w:trPr/>
        <w:tc>
          <w:tcPr>
            <w:tcW w:w="9850" w:type="dxa"/>
            <w:tcBorders/>
            <w:shd w:fill="CCEEFF" w:val="clear"/>
            <w:vAlign w:val="center"/>
          </w:tcPr>
          <w:p>
            <w:pPr>
              <w:pStyle w:val="TableContents"/>
              <w:bidi w:val="0"/>
              <w:spacing w:before="0" w:after="283"/>
              <w:jc w:val="left"/>
              <w:rPr>
                <w:b/>
              </w:rPr>
            </w:pPr>
            <w:r>
              <w:rPr>
                <w:b/>
              </w:rPr>
              <w:t xml:space="preserve">FINANCIAL STATEMENTS AS OF AND FOR THE PERIODS ENDED </w:t>
            </w:r>
            <w:r>
              <w:rPr>
                <w:rFonts w:ascii="Times New Roman;Times;Serif" w:hAnsi="Times New Roman;Times;Serif"/>
                <w:b/>
                <w:sz w:val="20"/>
              </w:rPr>
              <w:t>DECEMBER 31, 2022 AND 2021:</w:t>
            </w:r>
          </w:p>
        </w:tc>
        <w:tc>
          <w:tcPr>
            <w:tcW w:w="355" w:type="dxa"/>
            <w:tcBorders/>
            <w:shd w:fill="CCEEFF" w:val="clear"/>
            <w:vAlign w:val="center"/>
          </w:tcPr>
          <w:p>
            <w:pPr>
              <w:pStyle w:val="TableContents"/>
              <w:bidi w:val="0"/>
              <w:spacing w:before="0" w:after="283"/>
              <w:jc w:val="left"/>
              <w:rPr>
                <w:sz w:val="4"/>
                <w:szCs w:val="4"/>
              </w:rPr>
            </w:pPr>
            <w:r>
              <w:rPr>
                <w:sz w:val="4"/>
                <w:szCs w:val="4"/>
              </w:rPr>
            </w:r>
          </w:p>
        </w:tc>
      </w:tr>
      <w:tr>
        <w:trPr/>
        <w:tc>
          <w:tcPr>
            <w:tcW w:w="985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center"/>
              <w:rPr/>
            </w:pPr>
            <w:r>
              <w:rPr/>
              <w:t> </w:t>
            </w:r>
          </w:p>
        </w:tc>
      </w:tr>
      <w:tr>
        <w:trPr/>
        <w:tc>
          <w:tcPr>
            <w:tcW w:w="985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Consolidated Balance Sheets</w:t>
              </w:r>
            </w:hyperlink>
          </w:p>
        </w:tc>
        <w:tc>
          <w:tcPr>
            <w:tcW w:w="355" w:type="dxa"/>
            <w:tcBorders/>
            <w:shd w:fill="CCEEFF" w:val="clear"/>
            <w:vAlign w:val="center"/>
          </w:tcPr>
          <w:p>
            <w:pPr>
              <w:pStyle w:val="TableContents"/>
              <w:bidi w:val="0"/>
              <w:spacing w:before="0" w:after="283"/>
              <w:jc w:val="center"/>
              <w:rPr/>
            </w:pPr>
            <w:r>
              <w:rPr/>
              <w:t>F-5</w:t>
            </w:r>
          </w:p>
        </w:tc>
      </w:tr>
      <w:tr>
        <w:trPr/>
        <w:tc>
          <w:tcPr>
            <w:tcW w:w="985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center"/>
              <w:rPr/>
            </w:pPr>
            <w:r>
              <w:rPr/>
              <w:t> </w:t>
            </w:r>
          </w:p>
        </w:tc>
      </w:tr>
      <w:tr>
        <w:trPr/>
        <w:tc>
          <w:tcPr>
            <w:tcW w:w="985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Consolidated Statements of Operations</w:t>
              </w:r>
            </w:hyperlink>
          </w:p>
        </w:tc>
        <w:tc>
          <w:tcPr>
            <w:tcW w:w="355" w:type="dxa"/>
            <w:tcBorders/>
            <w:shd w:fill="CCEEFF" w:val="clear"/>
            <w:vAlign w:val="center"/>
          </w:tcPr>
          <w:p>
            <w:pPr>
              <w:pStyle w:val="TableContents"/>
              <w:bidi w:val="0"/>
              <w:spacing w:before="0" w:after="283"/>
              <w:jc w:val="center"/>
              <w:rPr/>
            </w:pPr>
            <w:r>
              <w:rPr/>
              <w:t>F-6</w:t>
            </w:r>
          </w:p>
        </w:tc>
      </w:tr>
      <w:tr>
        <w:trPr/>
        <w:tc>
          <w:tcPr>
            <w:tcW w:w="985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center"/>
              <w:rPr/>
            </w:pPr>
            <w:r>
              <w:rPr/>
              <w:t> </w:t>
            </w:r>
          </w:p>
        </w:tc>
      </w:tr>
      <w:tr>
        <w:trPr/>
        <w:tc>
          <w:tcPr>
            <w:tcW w:w="985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Consolidated Statements of Stockholders’ Equity (Deficit)</w:t>
              </w:r>
            </w:hyperlink>
          </w:p>
        </w:tc>
        <w:tc>
          <w:tcPr>
            <w:tcW w:w="355" w:type="dxa"/>
            <w:tcBorders/>
            <w:shd w:fill="CCEEFF" w:val="clear"/>
            <w:vAlign w:val="center"/>
          </w:tcPr>
          <w:p>
            <w:pPr>
              <w:pStyle w:val="TableContents"/>
              <w:bidi w:val="0"/>
              <w:spacing w:before="0" w:after="283"/>
              <w:jc w:val="center"/>
              <w:rPr/>
            </w:pPr>
            <w:r>
              <w:rPr/>
              <w:t>F-7</w:t>
            </w:r>
          </w:p>
        </w:tc>
      </w:tr>
      <w:tr>
        <w:trPr/>
        <w:tc>
          <w:tcPr>
            <w:tcW w:w="985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center"/>
              <w:rPr/>
            </w:pPr>
            <w:r>
              <w:rPr/>
              <w:t> </w:t>
            </w:r>
          </w:p>
        </w:tc>
      </w:tr>
      <w:tr>
        <w:trPr/>
        <w:tc>
          <w:tcPr>
            <w:tcW w:w="985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Consolidated Statements of Cash Flow</w:t>
              </w:r>
            </w:hyperlink>
          </w:p>
        </w:tc>
        <w:tc>
          <w:tcPr>
            <w:tcW w:w="355" w:type="dxa"/>
            <w:tcBorders/>
            <w:shd w:fill="CCEEFF" w:val="clear"/>
            <w:vAlign w:val="center"/>
          </w:tcPr>
          <w:p>
            <w:pPr>
              <w:pStyle w:val="TableContents"/>
              <w:bidi w:val="0"/>
              <w:spacing w:before="0" w:after="283"/>
              <w:jc w:val="center"/>
              <w:rPr/>
            </w:pPr>
            <w:r>
              <w:rPr/>
              <w:t>F-8</w:t>
            </w:r>
          </w:p>
        </w:tc>
      </w:tr>
      <w:tr>
        <w:trPr/>
        <w:tc>
          <w:tcPr>
            <w:tcW w:w="985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center"/>
              <w:rPr/>
            </w:pPr>
            <w:r>
              <w:rPr/>
              <w:t> </w:t>
            </w:r>
          </w:p>
        </w:tc>
      </w:tr>
      <w:tr>
        <w:trPr/>
        <w:tc>
          <w:tcPr>
            <w:tcW w:w="985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Notes to the Consolidated Financial Statements</w:t>
              </w:r>
            </w:hyperlink>
          </w:p>
        </w:tc>
        <w:tc>
          <w:tcPr>
            <w:tcW w:w="355" w:type="dxa"/>
            <w:tcBorders/>
            <w:shd w:fill="CCEEFF" w:val="clear"/>
            <w:vAlign w:val="center"/>
          </w:tcPr>
          <w:p>
            <w:pPr>
              <w:pStyle w:val="TableContents"/>
              <w:bidi w:val="0"/>
              <w:spacing w:before="0" w:after="283"/>
              <w:jc w:val="center"/>
              <w:rPr/>
            </w:pPr>
            <w:r>
              <w:rPr/>
              <w:t>F-9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01"/>
      <w:bookmarkEnd w:id="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Serve Robotics,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Serve Robotics, Inc. (the “Company”) as of December 31, 2022 and 2021, the related consolidated statements of operations, stockholders’ equity (deficit), and cash flows for the year ended December 31, 2022 and the period from January 15, 2021 (Inception) to December 31, 2021,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 ended December 31, 2022 and the period ended December 31, 2021,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the Company will continue as a going concern. As discussed in Note 2 to the financial statements, the Company’s has sustained net losses and used cash flows from operations. These factors raise substantial doubt about its ability to continue as a going concern. Management’s plans in regards to these matters are also described in Note 2.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dbb</w:t>
      </w:r>
      <w:r>
        <w:rPr>
          <w:rFonts w:ascii="Times New Roman;Times;Serif" w:hAnsi="Times New Roman;Times;Serif"/>
          <w:b w:val="false"/>
          <w:i/>
          <w:caps w:val="false"/>
          <w:smallCaps w:val="false"/>
          <w:sz w:val="20"/>
        </w:rPr>
        <w:t>mckennon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 2023 except for the effects of the reverse merger and recapitalization discussed in Note 3 to the financial statements, as to which the date is November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_002"/>
      <w:bookmarkEnd w:id="29"/>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4"/>
        <w:gridCol w:w="60"/>
        <w:gridCol w:w="140"/>
        <w:gridCol w:w="1175"/>
        <w:gridCol w:w="95"/>
        <w:gridCol w:w="60"/>
        <w:gridCol w:w="140"/>
        <w:gridCol w:w="1175"/>
        <w:gridCol w:w="86"/>
      </w:tblGrid>
      <w:tr>
        <w:trPr/>
        <w:tc>
          <w:tcPr>
            <w:tcW w:w="727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2,715,719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7,965,861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618,262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463,422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11,163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3,439,017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8,440,446</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3,376,427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119,616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Right of 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1,215,968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512,659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96,647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8,544,071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8,656,709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162,034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336,314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Note payable,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483,186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2,214,348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3,897,002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336,314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Note payable,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1,214,600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13,150,745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Restricted stock award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162,747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708,143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1,862,980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20,996,217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336,314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 xml:space="preserve">Series Seed preferred stock, $0.0001 par value; 4,008,079 shares authorized </w:t>
            </w:r>
            <w:r>
              <w:rPr>
                <w:position w:val="8"/>
                <w:sz w:val="19"/>
              </w:rPr>
              <w:t>(1)</w:t>
            </w:r>
            <w:r>
              <w:rPr/>
              <w:t>, 3,091,672 and 2,834,033 shares issued and outstanding as of December 31, 2022 and 2021,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283</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 xml:space="preserve">Series Seed-1 preferred stock, $0.0001 par value; 3,037,227 shares authorized </w:t>
            </w:r>
            <w:r>
              <w:rPr>
                <w:position w:val="8"/>
                <w:sz w:val="19"/>
              </w:rPr>
              <w:t>(1)</w:t>
            </w:r>
            <w:r>
              <w:rPr/>
              <w:t>, 2,440,411 shares issued and outstanding as of both December 31, 2022 and 2021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 xml:space="preserve">Series Seed-2 preferred stock, $0.0001 par value; 2,599,497 shares authorized </w:t>
            </w:r>
            <w:r>
              <w:rPr>
                <w:position w:val="8"/>
                <w:sz w:val="19"/>
              </w:rPr>
              <w:t>(1)</w:t>
            </w:r>
            <w:r>
              <w:rPr/>
              <w:t>, 2,088,696 shares issued and outstanding as of both December 31, 2022 and 2021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 xml:space="preserve">Series Seed-3 preferred stock, $0.0001 par value; 445,347 shares authorized </w:t>
            </w:r>
            <w:r>
              <w:rPr>
                <w:position w:val="8"/>
                <w:sz w:val="19"/>
              </w:rPr>
              <w:t>(1)</w:t>
            </w:r>
            <w:r>
              <w:rPr/>
              <w:t>, 357,836 issued and outstanding as of both December 31, 2022 and 2021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 xml:space="preserve">Common stock, $0.0001 par value; 21,200,000 shares authorized </w:t>
            </w:r>
            <w:r>
              <w:rPr>
                <w:position w:val="8"/>
                <w:sz w:val="19"/>
              </w:rPr>
              <w:t>(1)</w:t>
            </w:r>
            <w:r>
              <w:rPr/>
              <w:t>, 7,161,654 and 7,111,123 shares issued, 6,826,352 and 7,111,123 shares outstanding as of December 31, 2022 and 2021,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31,232,737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29,984,430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shd w:fill="FFFFFF" w:val="clear"/>
            <w:vAlign w:val="center"/>
          </w:tcPr>
          <w:p>
            <w:pPr>
              <w:pStyle w:val="TableContents"/>
              <w:bidi w:val="0"/>
              <w:spacing w:before="0" w:after="283"/>
              <w:jc w:val="left"/>
              <w:rPr/>
            </w:pPr>
            <w:r>
              <w:rPr/>
              <w:t>Subscription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(165,719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(43,520,645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(21,665,518</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274"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(12,452,146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8,320,395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8,544,071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8,656,709</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283"/>
              <w:jc w:val="both"/>
              <w:rPr>
                <w:shd w:fill="FFFFFF" w:val="clear"/>
              </w:rPr>
            </w:pPr>
            <w:r>
              <w:rPr>
                <w:shd w:fill="FFFFFF" w:val="clear"/>
              </w:rPr>
              <w:t>The authorized shares of preferred and common stock in the consolidated balance sheets above reflect the historical authorized shares of Serve. Upon the Merger, there were 10,000,000 authorized shares of preferred stock and 300,000,000 shares of common stock. Shares issued and outstanding have been retroactively restated to reflect the exchange ratio of 0.8035 as described in Note 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03"/>
      <w:bookmarkEnd w:id="30"/>
      <w:r>
        <w:rPr>
          <w:rFonts w:ascii="Times New Roman;Times;Serif" w:hAnsi="Times New Roman;Times;Serif"/>
          <w:b/>
          <w:i w:val="false"/>
          <w:caps w:val="false"/>
          <w:smallCaps w:val="false"/>
          <w:sz w:val="20"/>
        </w:rPr>
        <w:t>SERVE ROBOTICS, INC.</w:t>
        <w:b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013" w:type="dxa"/>
        <w:jc w:val="left"/>
        <w:tblInd w:w="0" w:type="dxa"/>
        <w:tblLayout w:type="fixed"/>
        <w:tblCellMar>
          <w:top w:w="0" w:type="dxa"/>
          <w:left w:w="0" w:type="dxa"/>
          <w:bottom w:w="0" w:type="dxa"/>
          <w:right w:w="0" w:type="dxa"/>
        </w:tblCellMar>
      </w:tblPr>
      <w:tblGrid>
        <w:gridCol w:w="6215"/>
        <w:gridCol w:w="60"/>
        <w:gridCol w:w="150"/>
        <w:gridCol w:w="1264"/>
        <w:gridCol w:w="95"/>
        <w:gridCol w:w="60"/>
        <w:gridCol w:w="219"/>
        <w:gridCol w:w="1840"/>
        <w:gridCol w:w="11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Period from</w:t>
              <w:br/>
              <w:t>January 15,</w:t>
              <w:br/>
              <w:t>2021</w:t>
              <w:br/>
              <w:t>(inception) to</w:t>
              <w:br/>
              <w:t>December 31,</w:t>
              <w:br/>
              <w:t>2021</w:t>
            </w:r>
          </w:p>
        </w:tc>
        <w:tc>
          <w:tcPr>
            <w:tcW w:w="11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107,819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8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1,148,426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Gross profit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(1,040,607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3,786,124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2,465,570</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2,035,063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924,501</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13,565,765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7,092,628</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525,494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0" w:type="dxa"/>
            <w:tcBorders>
              <w:bottom w:val="single" w:sz="12" w:space="0" w:color="000000"/>
            </w:tcBorders>
            <w:shd w:fill="CCEEFF" w:val="clear"/>
            <w:tcMar>
              <w:bottom w:w="28" w:type="dxa"/>
            </w:tcMar>
            <w:vAlign w:val="center"/>
          </w:tcPr>
          <w:p>
            <w:pPr>
              <w:pStyle w:val="TableContents"/>
              <w:bidi w:val="0"/>
              <w:spacing w:before="0" w:after="283"/>
              <w:jc w:val="right"/>
              <w:rPr/>
            </w:pPr>
            <w:r>
              <w:rPr/>
              <w:t>139,664</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19,912,446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10,622,363</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(20,953,053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(10,622,363</w:t>
            </w:r>
          </w:p>
        </w:tc>
        <w:tc>
          <w:tcPr>
            <w:tcW w:w="110" w:type="dxa"/>
            <w:tcBorders/>
            <w:shd w:fill="FFFFFF" w:val="clear"/>
            <w:vAlign w:val="center"/>
          </w:tcPr>
          <w:p>
            <w:pPr>
              <w:pStyle w:val="TableContents"/>
              <w:bidi w:val="0"/>
              <w:spacing w:before="0" w:after="283"/>
              <w:jc w:val="left"/>
              <w:rPr/>
            </w:pPr>
            <w:r>
              <w:rPr/>
              <w:t>)</w:t>
            </w:r>
          </w:p>
        </w:tc>
      </w:tr>
      <w:tr>
        <w:trPr/>
        <w:tc>
          <w:tcPr>
            <w:tcW w:w="6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(636,330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Change in fair value of future equity obligations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(265,744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0" w:type="dxa"/>
            <w:tcBorders>
              <w:bottom w:val="single" w:sz="12" w:space="0" w:color="000000"/>
            </w:tcBorders>
            <w:shd w:fill="FFFFFF" w:val="clear"/>
            <w:tcMar>
              <w:bottom w:w="28" w:type="dxa"/>
            </w:tcMar>
            <w:vAlign w:val="center"/>
          </w:tcPr>
          <w:p>
            <w:pPr>
              <w:pStyle w:val="TableContents"/>
              <w:bidi w:val="0"/>
              <w:spacing w:before="0" w:after="283"/>
              <w:jc w:val="right"/>
              <w:rPr/>
            </w:pPr>
            <w:r>
              <w:rPr/>
              <w:t>(11,043,155</w:t>
            </w:r>
          </w:p>
        </w:tc>
        <w:tc>
          <w:tcPr>
            <w:tcW w:w="110" w:type="dxa"/>
            <w:tcBorders/>
            <w:shd w:fill="FFFFFF" w:val="clear"/>
            <w:vAlign w:val="center"/>
          </w:tcPr>
          <w:p>
            <w:pPr>
              <w:pStyle w:val="TableContents"/>
              <w:bidi w:val="0"/>
              <w:spacing w:before="0" w:after="283"/>
              <w:jc w:val="left"/>
              <w:rPr/>
            </w:pPr>
            <w:r>
              <w:rPr/>
              <w:t>)</w:t>
            </w:r>
          </w:p>
        </w:tc>
      </w:tr>
      <w:tr>
        <w:trPr/>
        <w:tc>
          <w:tcPr>
            <w:tcW w:w="621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(902,074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(11,043,155</w:t>
            </w:r>
          </w:p>
        </w:tc>
        <w:tc>
          <w:tcPr>
            <w:tcW w:w="110" w:type="dxa"/>
            <w:tcBorders/>
            <w:shd w:fill="CCEEFF" w:val="clear"/>
            <w:vAlign w:val="center"/>
          </w:tcPr>
          <w:p>
            <w:pPr>
              <w:pStyle w:val="TableContents"/>
              <w:bidi w:val="0"/>
              <w:spacing w:before="0" w:after="283"/>
              <w:jc w:val="left"/>
              <w:rPr/>
            </w:pPr>
            <w:r>
              <w:rPr/>
              <w:t>)</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4" w:type="dxa"/>
            <w:tcBorders>
              <w:bottom w:val="double" w:sz="10" w:space="0" w:color="000000"/>
            </w:tcBorders>
            <w:shd w:fill="FFFFFF" w:val="clear"/>
            <w:tcMar>
              <w:bottom w:w="28" w:type="dxa"/>
            </w:tcMar>
            <w:vAlign w:val="center"/>
          </w:tcPr>
          <w:p>
            <w:pPr>
              <w:pStyle w:val="TableContents"/>
              <w:bidi w:val="0"/>
              <w:spacing w:before="0" w:after="283"/>
              <w:jc w:val="right"/>
              <w:rPr/>
            </w:pPr>
            <w:r>
              <w:rPr/>
              <w:t>(21,855,127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840" w:type="dxa"/>
            <w:tcBorders>
              <w:bottom w:val="double" w:sz="10" w:space="0" w:color="000000"/>
            </w:tcBorders>
            <w:shd w:fill="FFFFFF" w:val="clear"/>
            <w:tcMar>
              <w:bottom w:w="28" w:type="dxa"/>
            </w:tcMar>
            <w:vAlign w:val="center"/>
          </w:tcPr>
          <w:p>
            <w:pPr>
              <w:pStyle w:val="TableContents"/>
              <w:bidi w:val="0"/>
              <w:spacing w:before="0" w:after="283"/>
              <w:jc w:val="right"/>
              <w:rPr/>
            </w:pPr>
            <w:r>
              <w:rPr/>
              <w:t>(21,665,518</w:t>
            </w:r>
          </w:p>
        </w:tc>
        <w:tc>
          <w:tcPr>
            <w:tcW w:w="110" w:type="dxa"/>
            <w:tcBorders/>
            <w:shd w:fill="FFFFFF" w:val="clear"/>
            <w:vAlign w:val="center"/>
          </w:tcPr>
          <w:p>
            <w:pPr>
              <w:pStyle w:val="TableContents"/>
              <w:bidi w:val="0"/>
              <w:spacing w:before="0" w:after="283"/>
              <w:jc w:val="left"/>
              <w:rPr/>
            </w:pPr>
            <w:r>
              <w:rPr/>
              <w:t>)</w:t>
            </w:r>
          </w:p>
        </w:tc>
      </w:tr>
      <w:tr>
        <w:trPr/>
        <w:tc>
          <w:tcPr>
            <w:tcW w:w="6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Weighted average common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6,896,769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0"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5,622,548</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double" w:sz="10" w:space="0" w:color="000000"/>
            </w:tcBorders>
            <w:shd w:fill="CCEEFF" w:val="clear"/>
            <w:tcMar>
              <w:bottom w:w="28" w:type="dxa"/>
            </w:tcM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40" w:type="dxa"/>
            <w:tcBorders>
              <w:bottom w:val="double" w:sz="10" w:space="0" w:color="000000"/>
            </w:tcBorders>
            <w:shd w:fill="CCEEFF" w:val="clear"/>
            <w:tcMar>
              <w:bottom w:w="28" w:type="dxa"/>
            </w:tcMar>
            <w:vAlign w:val="center"/>
          </w:tcPr>
          <w:p>
            <w:pPr>
              <w:pStyle w:val="TableContents"/>
              <w:bidi w:val="0"/>
              <w:spacing w:before="0" w:after="283"/>
              <w:jc w:val="right"/>
              <w:rPr/>
            </w:pPr>
            <w:r>
              <w:rPr/>
              <w:t>(3.85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04"/>
      <w:bookmarkEnd w:id="31"/>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caps w:val="false"/>
          <w:smallCaps w:val="false"/>
        </w:rPr>
      </w:pPr>
      <w:r>
        <w:rPr>
          <w:caps w:val="false"/>
          <w:smallCaps w:val="false"/>
        </w:rPr>
        <w:t> </w:t>
      </w:r>
    </w:p>
    <w:tbl>
      <w:tblPr>
        <w:tblW w:w="13540" w:type="dxa"/>
        <w:jc w:val="left"/>
        <w:tblInd w:w="0" w:type="dxa"/>
        <w:tblLayout w:type="fixed"/>
        <w:tblCellMar>
          <w:top w:w="0" w:type="dxa"/>
          <w:left w:w="0" w:type="dxa"/>
          <w:bottom w:w="0" w:type="dxa"/>
          <w:right w:w="0" w:type="dxa"/>
        </w:tblCellMar>
      </w:tblPr>
      <w:tblGrid>
        <w:gridCol w:w="995"/>
        <w:gridCol w:w="60"/>
        <w:gridCol w:w="60"/>
        <w:gridCol w:w="740"/>
        <w:gridCol w:w="60"/>
        <w:gridCol w:w="60"/>
        <w:gridCol w:w="166"/>
        <w:gridCol w:w="439"/>
        <w:gridCol w:w="60"/>
        <w:gridCol w:w="60"/>
        <w:gridCol w:w="60"/>
        <w:gridCol w:w="740"/>
        <w:gridCol w:w="60"/>
        <w:gridCol w:w="60"/>
        <w:gridCol w:w="166"/>
        <w:gridCol w:w="439"/>
        <w:gridCol w:w="60"/>
        <w:gridCol w:w="60"/>
        <w:gridCol w:w="60"/>
        <w:gridCol w:w="740"/>
        <w:gridCol w:w="60"/>
        <w:gridCol w:w="60"/>
        <w:gridCol w:w="166"/>
        <w:gridCol w:w="439"/>
        <w:gridCol w:w="60"/>
        <w:gridCol w:w="60"/>
        <w:gridCol w:w="60"/>
        <w:gridCol w:w="605"/>
        <w:gridCol w:w="60"/>
        <w:gridCol w:w="60"/>
        <w:gridCol w:w="214"/>
        <w:gridCol w:w="391"/>
        <w:gridCol w:w="60"/>
        <w:gridCol w:w="60"/>
        <w:gridCol w:w="60"/>
        <w:gridCol w:w="740"/>
        <w:gridCol w:w="80"/>
        <w:gridCol w:w="60"/>
        <w:gridCol w:w="166"/>
        <w:gridCol w:w="439"/>
        <w:gridCol w:w="80"/>
        <w:gridCol w:w="60"/>
        <w:gridCol w:w="110"/>
        <w:gridCol w:w="830"/>
        <w:gridCol w:w="60"/>
        <w:gridCol w:w="60"/>
        <w:gridCol w:w="130"/>
        <w:gridCol w:w="790"/>
        <w:gridCol w:w="80"/>
        <w:gridCol w:w="60"/>
        <w:gridCol w:w="110"/>
        <w:gridCol w:w="890"/>
        <w:gridCol w:w="80"/>
        <w:gridCol w:w="60"/>
        <w:gridCol w:w="110"/>
        <w:gridCol w:w="890"/>
        <w:gridCol w:w="95"/>
      </w:tblGrid>
      <w:tr>
        <w:trPr/>
        <w:tc>
          <w:tcPr>
            <w:tcW w:w="9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Subscription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Receivable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b/>
                <w:sz w:val="16"/>
              </w:rPr>
            </w:pPr>
            <w:r>
              <w:rPr>
                <w:b/>
                <w:sz w:val="16"/>
              </w:rPr>
              <w:t>Balances at January 15, 2021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16"/>
              </w:rPr>
            </w:pPr>
            <w:r>
              <w:rPr>
                <w:sz w:val="16"/>
              </w:rPr>
              <w:t>$</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16"/>
              </w:rPr>
            </w:pPr>
            <w:r>
              <w:rPr>
                <w:sz w:val="16"/>
              </w:rPr>
              <w:t>$</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16"/>
              </w:rPr>
            </w:pPr>
            <w:r>
              <w:rPr>
                <w:sz w:val="16"/>
              </w:rPr>
              <w:t>$</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16"/>
              </w:rPr>
            </w:pPr>
            <w:r>
              <w:rPr>
                <w:sz w:val="16"/>
              </w:rPr>
              <w:t>$</w:t>
            </w:r>
          </w:p>
        </w:tc>
        <w:tc>
          <w:tcPr>
            <w:tcW w:w="39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16"/>
              </w:rPr>
            </w:pPr>
            <w:r>
              <w:rPr>
                <w:sz w:val="16"/>
              </w:rPr>
              <w:t>$</w:t>
            </w:r>
          </w:p>
        </w:tc>
        <w:tc>
          <w:tcPr>
            <w:tcW w:w="439"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16"/>
              </w:rPr>
            </w:pPr>
            <w:r>
              <w:rPr>
                <w:sz w:val="16"/>
              </w:rPr>
              <w:t>$</w:t>
            </w:r>
          </w:p>
        </w:tc>
        <w:tc>
          <w:tcPr>
            <w:tcW w:w="7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90" w:type="dxa"/>
            <w:tcBorders/>
            <w:shd w:fill="CCEEFF" w:val="clear"/>
            <w:vAlign w:val="center"/>
          </w:tcPr>
          <w:p>
            <w:pPr>
              <w:pStyle w:val="TableContents"/>
              <w:bidi w:val="0"/>
              <w:spacing w:before="0" w:after="283"/>
              <w:jc w:val="right"/>
              <w:rPr>
                <w:sz w:val="16"/>
              </w:rPr>
            </w:pPr>
            <w:r>
              <w:rPr>
                <w:sz w:val="16"/>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sz w:val="16"/>
              </w:rPr>
            </w:pPr>
            <w:r>
              <w:rPr>
                <w:sz w:val="16"/>
              </w:rPr>
              <w:t>Issuance of founders’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3,535,400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4,400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6"/>
              </w:rPr>
            </w:pPr>
            <w:r>
              <w:rPr>
                <w:sz w:val="16"/>
              </w:rPr>
              <w:t>Issuance of restricted common stock, net of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3,575,723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4,646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sz w:val="16"/>
              </w:rPr>
            </w:pPr>
            <w:r>
              <w:rPr>
                <w:sz w:val="16"/>
              </w:rPr>
              <w:t>Issuance of Series Seed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2,834,033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10,999,715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10,999,998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6"/>
              </w:rPr>
            </w:pPr>
            <w:r>
              <w:rPr>
                <w:sz w:val="16"/>
              </w:rPr>
              <w:t>Conversion of SAFEs into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2,440,411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2,088,696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357,836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18,967,666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18,968,155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sz w:val="16"/>
              </w:rPr>
            </w:pPr>
            <w:r>
              <w:rPr>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8,714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8,714</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(21,665,518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(21,665,518</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995" w:type="dxa"/>
            <w:tcBorders/>
            <w:shd w:fill="FFFFFF" w:val="clear"/>
            <w:vAlign w:val="center"/>
          </w:tcPr>
          <w:p>
            <w:pPr>
              <w:pStyle w:val="TableContents"/>
              <w:bidi w:val="0"/>
              <w:spacing w:before="0" w:after="283"/>
              <w:jc w:val="left"/>
              <w:rPr>
                <w:b/>
                <w:sz w:val="16"/>
              </w:rPr>
            </w:pPr>
            <w:r>
              <w:rPr>
                <w:b/>
                <w:sz w:val="16"/>
              </w:rPr>
              <w:t>Balances at December 31,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2,834,033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2,440,411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2,088,696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357,836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sz w:val="16"/>
              </w:rPr>
            </w:pPr>
            <w:r>
              <w:rPr>
                <w:sz w:val="16"/>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7,111,123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711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29,984,430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(21,665,518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8,320,395</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6"/>
              </w:rPr>
            </w:pPr>
            <w:r>
              <w:rPr>
                <w:sz w:val="16"/>
              </w:rPr>
              <w:t>Issuance of Series Seed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257,639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999,973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999,999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sz w:val="16"/>
              </w:rPr>
            </w:pPr>
            <w:r>
              <w:rPr>
                <w:sz w:val="16"/>
              </w:rPr>
              <w:t>Restricted stock purchased with recourse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2,820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(165,719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(161,469</w:t>
            </w:r>
          </w:p>
        </w:tc>
        <w:tc>
          <w:tcPr>
            <w:tcW w:w="9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995" w:type="dxa"/>
            <w:tcBorders/>
            <w:shd w:fill="CCEEFF" w:val="clear"/>
            <w:vAlign w:val="center"/>
          </w:tcPr>
          <w:p>
            <w:pPr>
              <w:pStyle w:val="TableContents"/>
              <w:bidi w:val="0"/>
              <w:spacing w:before="0" w:after="283"/>
              <w:jc w:val="left"/>
              <w:rPr>
                <w:sz w:val="16"/>
              </w:rPr>
            </w:pPr>
            <w:r>
              <w:rPr>
                <w:sz w:val="16"/>
              </w:rPr>
              <w:t>Restricted stock awards repurchased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(287,591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(28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sz w:val="16"/>
              </w:rPr>
            </w:pPr>
            <w:r>
              <w:rPr>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195,056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195,056</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6"/>
              </w:rPr>
            </w:pPr>
            <w:r>
              <w:rPr>
                <w:sz w:val="16"/>
              </w:rPr>
              <w:t>Warrants issued in connection with note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49,000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(21,855,127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(21,855,127</w:t>
            </w:r>
          </w:p>
        </w:tc>
        <w:tc>
          <w:tcPr>
            <w:tcW w:w="9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995" w:type="dxa"/>
            <w:tcBorders/>
            <w:shd w:fill="CCEEFF" w:val="clear"/>
            <w:vAlign w:val="center"/>
          </w:tcPr>
          <w:p>
            <w:pPr>
              <w:pStyle w:val="TableContents"/>
              <w:bidi w:val="0"/>
              <w:spacing w:before="0" w:after="283"/>
              <w:jc w:val="left"/>
              <w:rPr>
                <w:b/>
                <w:sz w:val="16"/>
              </w:rPr>
            </w:pPr>
            <w:r>
              <w:rPr>
                <w:b/>
                <w:sz w:val="16"/>
              </w:rPr>
              <w:t>Balances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3,091,672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2,440,411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2,088,696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357,836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6,826,352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31,232,737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(165,719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(43,520,645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(12,452,146</w:t>
            </w:r>
          </w:p>
        </w:tc>
        <w:tc>
          <w:tcPr>
            <w:tcW w:w="95"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05"/>
      <w:bookmarkEnd w:id="32"/>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1"/>
        <w:gridCol w:w="60"/>
        <w:gridCol w:w="148"/>
        <w:gridCol w:w="1253"/>
        <w:gridCol w:w="95"/>
        <w:gridCol w:w="60"/>
        <w:gridCol w:w="210"/>
        <w:gridCol w:w="1765"/>
        <w:gridCol w:w="113"/>
      </w:tblGrid>
      <w:tr>
        <w:trPr/>
        <w:tc>
          <w:tcPr>
            <w:tcW w:w="65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Period from</w:t>
              <w:br/>
              <w:t>January 15,</w:t>
              <w:br/>
              <w:t>2021</w:t>
              <w:br/>
              <w:t>(inception) to</w:t>
              <w:br/>
              <w:t>December 31,</w:t>
              <w:br/>
              <w:t>2021</w:t>
            </w:r>
          </w:p>
        </w:tc>
        <w:tc>
          <w:tcPr>
            <w:tcW w:w="113" w:type="dxa"/>
            <w:tcBorders/>
            <w:vAlign w:val="center"/>
          </w:tcPr>
          <w:p>
            <w:pPr>
              <w:pStyle w:val="TableContents"/>
              <w:bidi w:val="0"/>
              <w:spacing w:before="0" w:after="283"/>
              <w:jc w:val="left"/>
              <w:rPr/>
            </w:pPr>
            <w:r>
              <w:rPr/>
              <w:t> </w:t>
            </w:r>
          </w:p>
        </w:tc>
      </w:tr>
      <w:tr>
        <w:trPr/>
        <w:tc>
          <w:tcPr>
            <w:tcW w:w="6501"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(21,855,127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765" w:type="dxa"/>
            <w:tcBorders/>
            <w:shd w:fill="CCEEFF" w:val="clear"/>
            <w:vAlign w:val="center"/>
          </w:tcPr>
          <w:p>
            <w:pPr>
              <w:pStyle w:val="TableContents"/>
              <w:bidi w:val="0"/>
              <w:spacing w:before="0" w:after="283"/>
              <w:jc w:val="right"/>
              <w:rPr/>
            </w:pPr>
            <w:r>
              <w:rPr/>
              <w:t>(21,665,518</w:t>
            </w:r>
          </w:p>
        </w:tc>
        <w:tc>
          <w:tcPr>
            <w:tcW w:w="113" w:type="dxa"/>
            <w:tcBorders/>
            <w:shd w:fill="CCEEFF" w:val="clear"/>
            <w:vAlign w:val="center"/>
          </w:tcPr>
          <w:p>
            <w:pPr>
              <w:pStyle w:val="TableContents"/>
              <w:bidi w:val="0"/>
              <w:spacing w:before="0" w:after="283"/>
              <w:jc w:val="left"/>
              <w:rPr/>
            </w:pPr>
            <w:r>
              <w:rPr/>
              <w:t>)</w:t>
            </w:r>
          </w:p>
        </w:tc>
      </w:tr>
      <w:tr>
        <w:trPr/>
        <w:tc>
          <w:tcPr>
            <w:tcW w:w="6501"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388,139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42,469</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195,056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8,714</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Change in fair value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265,744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11,043,155</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13,600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(23,697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(154,840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(463,422</w:t>
            </w:r>
          </w:p>
        </w:tc>
        <w:tc>
          <w:tcPr>
            <w:tcW w:w="113" w:type="dxa"/>
            <w:tcBorders/>
            <w:shd w:fill="CCEEFF" w:val="clear"/>
            <w:vAlign w:val="center"/>
          </w:tcPr>
          <w:p>
            <w:pPr>
              <w:pStyle w:val="TableContents"/>
              <w:bidi w:val="0"/>
              <w:spacing w:before="0" w:after="283"/>
              <w:jc w:val="left"/>
              <w:rPr/>
            </w:pPr>
            <w:r>
              <w:rPr/>
              <w:t>)</w:t>
            </w:r>
          </w:p>
        </w:tc>
      </w:tr>
      <w:tr>
        <w:trPr/>
        <w:tc>
          <w:tcPr>
            <w:tcW w:w="6501"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(81,339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11,163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(11,163</w:t>
            </w:r>
          </w:p>
        </w:tc>
        <w:tc>
          <w:tcPr>
            <w:tcW w:w="113" w:type="dxa"/>
            <w:tcBorders/>
            <w:shd w:fill="CCEEFF" w:val="clear"/>
            <w:vAlign w:val="center"/>
          </w:tcPr>
          <w:p>
            <w:pPr>
              <w:pStyle w:val="TableContents"/>
              <w:bidi w:val="0"/>
              <w:spacing w:before="0" w:after="283"/>
              <w:jc w:val="left"/>
              <w:rPr/>
            </w:pPr>
            <w:r>
              <w:rPr/>
              <w:t>)</w:t>
            </w:r>
          </w:p>
        </w:tc>
      </w:tr>
      <w:tr>
        <w:trPr/>
        <w:tc>
          <w:tcPr>
            <w:tcW w:w="650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(174,278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336,315</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37,434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Right of use liabilities,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FFFFFF" w:val="clear"/>
            <w:tcMar>
              <w:bottom w:w="28" w:type="dxa"/>
            </w:tcMar>
            <w:vAlign w:val="center"/>
          </w:tcPr>
          <w:p>
            <w:pPr>
              <w:pStyle w:val="TableContents"/>
              <w:bidi w:val="0"/>
              <w:spacing w:before="0" w:after="283"/>
              <w:jc w:val="right"/>
              <w:rPr/>
            </w:pPr>
            <w:r>
              <w:rPr/>
              <w:t>(24,641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CCEEFF" w:val="clear"/>
            <w:tcMar>
              <w:bottom w:w="28" w:type="dxa"/>
            </w:tcMar>
            <w:vAlign w:val="center"/>
          </w:tcPr>
          <w:p>
            <w:pPr>
              <w:pStyle w:val="TableContents"/>
              <w:bidi w:val="0"/>
              <w:spacing w:before="0" w:after="283"/>
              <w:jc w:val="right"/>
              <w:rPr/>
            </w:pPr>
            <w:r>
              <w:rPr/>
              <w:t>(21,402,786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5" w:type="dxa"/>
            <w:tcBorders>
              <w:bottom w:val="single" w:sz="12" w:space="0" w:color="000000"/>
            </w:tcBorders>
            <w:shd w:fill="CCEEFF" w:val="clear"/>
            <w:tcMar>
              <w:bottom w:w="28" w:type="dxa"/>
            </w:tcMar>
            <w:vAlign w:val="center"/>
          </w:tcPr>
          <w:p>
            <w:pPr>
              <w:pStyle w:val="TableContents"/>
              <w:bidi w:val="0"/>
              <w:spacing w:before="0" w:after="283"/>
              <w:jc w:val="right"/>
              <w:rPr/>
            </w:pPr>
            <w:r>
              <w:rPr/>
              <w:t>(10,709,450</w:t>
            </w:r>
          </w:p>
        </w:tc>
        <w:tc>
          <w:tcPr>
            <w:tcW w:w="113" w:type="dxa"/>
            <w:tcBorders/>
            <w:shd w:fill="CCEEFF" w:val="clear"/>
            <w:vAlign w:val="center"/>
          </w:tcPr>
          <w:p>
            <w:pPr>
              <w:pStyle w:val="TableContents"/>
              <w:bidi w:val="0"/>
              <w:spacing w:before="0" w:after="283"/>
              <w:jc w:val="left"/>
              <w:rPr/>
            </w:pPr>
            <w:r>
              <w:rPr/>
              <w:t>)</w:t>
            </w:r>
          </w:p>
        </w:tc>
      </w:tr>
      <w:tr>
        <w:trPr/>
        <w:tc>
          <w:tcPr>
            <w:tcW w:w="6501"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(3,644,950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(162,085</w:t>
            </w:r>
          </w:p>
        </w:tc>
        <w:tc>
          <w:tcPr>
            <w:tcW w:w="113" w:type="dxa"/>
            <w:tcBorders/>
            <w:shd w:fill="CCEEFF" w:val="clear"/>
            <w:vAlign w:val="center"/>
          </w:tcPr>
          <w:p>
            <w:pPr>
              <w:pStyle w:val="TableContents"/>
              <w:bidi w:val="0"/>
              <w:spacing w:before="0" w:after="283"/>
              <w:jc w:val="left"/>
              <w:rPr/>
            </w:pPr>
            <w:r>
              <w:rPr/>
              <w:t>)</w:t>
            </w:r>
          </w:p>
        </w:tc>
      </w:tr>
      <w:tr>
        <w:trPr/>
        <w:tc>
          <w:tcPr>
            <w:tcW w:w="6501"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FFFFFF" w:val="clear"/>
            <w:tcMar>
              <w:bottom w:w="28" w:type="dxa"/>
            </w:tcMar>
            <w:vAlign w:val="center"/>
          </w:tcPr>
          <w:p>
            <w:pPr>
              <w:pStyle w:val="TableContents"/>
              <w:bidi w:val="0"/>
              <w:spacing w:before="0" w:after="283"/>
              <w:jc w:val="right"/>
              <w:rPr/>
            </w:pPr>
            <w:r>
              <w:rPr/>
              <w:t>(416,012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5" w:type="dxa"/>
            <w:tcBorders>
              <w:bottom w:val="single" w:sz="12" w:space="0" w:color="000000"/>
            </w:tcBorders>
            <w:shd w:fill="FFFFFF" w:val="clear"/>
            <w:tcMar>
              <w:bottom w:w="28" w:type="dxa"/>
            </w:tcMar>
            <w:vAlign w:val="center"/>
          </w:tcPr>
          <w:p>
            <w:pPr>
              <w:pStyle w:val="TableContents"/>
              <w:bidi w:val="0"/>
              <w:spacing w:before="0" w:after="283"/>
              <w:jc w:val="right"/>
              <w:rPr/>
            </w:pPr>
            <w:r>
              <w:rPr/>
              <w:t>(96,647</w:t>
            </w:r>
          </w:p>
        </w:tc>
        <w:tc>
          <w:tcPr>
            <w:tcW w:w="113" w:type="dxa"/>
            <w:tcBorders/>
            <w:shd w:fill="FFFFFF" w:val="clear"/>
            <w:vAlign w:val="center"/>
          </w:tcPr>
          <w:p>
            <w:pPr>
              <w:pStyle w:val="TableContents"/>
              <w:bidi w:val="0"/>
              <w:spacing w:before="0" w:after="283"/>
              <w:jc w:val="left"/>
              <w:rPr/>
            </w:pPr>
            <w:r>
              <w:rPr/>
              <w:t>)</w:t>
            </w:r>
          </w:p>
        </w:tc>
      </w:tr>
      <w:tr>
        <w:trPr/>
        <w:tc>
          <w:tcPr>
            <w:tcW w:w="6501"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CCEEFF" w:val="clear"/>
            <w:tcMar>
              <w:bottom w:w="28" w:type="dxa"/>
            </w:tcMar>
            <w:vAlign w:val="center"/>
          </w:tcPr>
          <w:p>
            <w:pPr>
              <w:pStyle w:val="TableContents"/>
              <w:bidi w:val="0"/>
              <w:spacing w:before="0" w:after="283"/>
              <w:jc w:val="right"/>
              <w:rPr/>
            </w:pPr>
            <w:r>
              <w:rPr/>
              <w:t>(4,060,962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5" w:type="dxa"/>
            <w:tcBorders>
              <w:bottom w:val="single" w:sz="12" w:space="0" w:color="000000"/>
            </w:tcBorders>
            <w:shd w:fill="CCEEFF" w:val="clear"/>
            <w:tcMar>
              <w:bottom w:w="28" w:type="dxa"/>
            </w:tcMar>
            <w:vAlign w:val="center"/>
          </w:tcPr>
          <w:p>
            <w:pPr>
              <w:pStyle w:val="TableContents"/>
              <w:bidi w:val="0"/>
              <w:spacing w:before="0" w:after="283"/>
              <w:jc w:val="right"/>
              <w:rPr/>
            </w:pPr>
            <w:r>
              <w:rPr/>
              <w:t>(258,732</w:t>
            </w:r>
          </w:p>
        </w:tc>
        <w:tc>
          <w:tcPr>
            <w:tcW w:w="113" w:type="dxa"/>
            <w:tcBorders/>
            <w:shd w:fill="CCEEFF" w:val="clear"/>
            <w:vAlign w:val="center"/>
          </w:tcPr>
          <w:p>
            <w:pPr>
              <w:pStyle w:val="TableContents"/>
              <w:bidi w:val="0"/>
              <w:spacing w:before="0" w:after="283"/>
              <w:jc w:val="left"/>
              <w:rPr/>
            </w:pPr>
            <w:r>
              <w:rPr/>
              <w:t>)</w:t>
            </w:r>
          </w:p>
        </w:tc>
      </w:tr>
      <w:tr>
        <w:trPr/>
        <w:tc>
          <w:tcPr>
            <w:tcW w:w="6501"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Proceeds from simple agreement for future equity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12,885,001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7,925,000</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Proceeds from note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Repayments of note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(250,000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Proceeds from lease liability financing</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4,455,852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Repayment of lease liability financing</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(378,524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Issuance of founders’ stock</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4,400</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Issuance of restricted common stock, net of repurchases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4,645</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Issuance of Series Seed preferred stock</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FFFFFF" w:val="clear"/>
            <w:tcMar>
              <w:bottom w:w="28" w:type="dxa"/>
            </w:tcMar>
            <w:vAlign w:val="center"/>
          </w:tcPr>
          <w:p>
            <w:pPr>
              <w:pStyle w:val="TableContents"/>
              <w:bidi w:val="0"/>
              <w:spacing w:before="0" w:after="283"/>
              <w:jc w:val="right"/>
              <w:rPr/>
            </w:pPr>
            <w:r>
              <w:rPr/>
              <w:t>999,999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5" w:type="dxa"/>
            <w:tcBorders>
              <w:bottom w:val="single" w:sz="12" w:space="0" w:color="000000"/>
            </w:tcBorders>
            <w:shd w:fill="FFFFFF" w:val="clear"/>
            <w:tcMar>
              <w:bottom w:w="28" w:type="dxa"/>
            </w:tcMar>
            <w:vAlign w:val="center"/>
          </w:tcPr>
          <w:p>
            <w:pPr>
              <w:pStyle w:val="TableContents"/>
              <w:bidi w:val="0"/>
              <w:spacing w:before="0" w:after="283"/>
              <w:jc w:val="right"/>
              <w:rPr/>
            </w:pPr>
            <w:r>
              <w:rPr/>
              <w:t>10,999,998</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CCEEFF" w:val="clear"/>
            <w:tcMar>
              <w:bottom w:w="28" w:type="dxa"/>
            </w:tcMar>
            <w:vAlign w:val="center"/>
          </w:tcPr>
          <w:p>
            <w:pPr>
              <w:pStyle w:val="TableContents"/>
              <w:bidi w:val="0"/>
              <w:spacing w:before="0" w:after="283"/>
              <w:jc w:val="right"/>
              <w:rPr/>
            </w:pPr>
            <w:r>
              <w:rPr/>
              <w:t>20,213,606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5" w:type="dxa"/>
            <w:tcBorders>
              <w:bottom w:val="single" w:sz="12" w:space="0" w:color="000000"/>
            </w:tcBorders>
            <w:shd w:fill="CCEEFF" w:val="clear"/>
            <w:tcMar>
              <w:bottom w:w="28" w:type="dxa"/>
            </w:tcMar>
            <w:vAlign w:val="center"/>
          </w:tcPr>
          <w:p>
            <w:pPr>
              <w:pStyle w:val="TableContents"/>
              <w:bidi w:val="0"/>
              <w:spacing w:before="0" w:after="283"/>
              <w:jc w:val="right"/>
              <w:rPr/>
            </w:pPr>
            <w:r>
              <w:rPr/>
              <w:t>18,934,043</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b/>
              </w:rPr>
            </w:pPr>
            <w:r>
              <w:rPr>
                <w:b/>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(5,250,142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7,965,861</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CCEEFF" w:val="clear"/>
            <w:tcMar>
              <w:bottom w:w="28" w:type="dxa"/>
            </w:tcMar>
            <w:vAlign w:val="center"/>
          </w:tcPr>
          <w:p>
            <w:pPr>
              <w:pStyle w:val="TableContents"/>
              <w:bidi w:val="0"/>
              <w:spacing w:before="0" w:after="283"/>
              <w:jc w:val="right"/>
              <w:rPr/>
            </w:pPr>
            <w:r>
              <w:rPr/>
              <w:t>7,965,861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3" w:type="dxa"/>
            <w:tcBorders>
              <w:bottom w:val="double" w:sz="10" w:space="0" w:color="000000"/>
            </w:tcBorders>
            <w:shd w:fill="FFFFFF" w:val="clear"/>
            <w:tcMar>
              <w:bottom w:w="28" w:type="dxa"/>
            </w:tcMar>
            <w:vAlign w:val="center"/>
          </w:tcPr>
          <w:p>
            <w:pPr>
              <w:pStyle w:val="TableContents"/>
              <w:bidi w:val="0"/>
              <w:spacing w:before="0" w:after="283"/>
              <w:jc w:val="right"/>
              <w:rPr/>
            </w:pPr>
            <w:r>
              <w:rPr/>
              <w:t>2,715,719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765" w:type="dxa"/>
            <w:tcBorders>
              <w:bottom w:val="double" w:sz="10" w:space="0" w:color="000000"/>
            </w:tcBorders>
            <w:shd w:fill="FFFFFF" w:val="clear"/>
            <w:tcMar>
              <w:bottom w:w="28" w:type="dxa"/>
            </w:tcMar>
            <w:vAlign w:val="center"/>
          </w:tcPr>
          <w:p>
            <w:pPr>
              <w:pStyle w:val="TableContents"/>
              <w:bidi w:val="0"/>
              <w:spacing w:before="0" w:after="283"/>
              <w:jc w:val="right"/>
              <w:rPr/>
            </w:pPr>
            <w:r>
              <w:rPr/>
              <w:t>7,965,861</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76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53" w:type="dxa"/>
            <w:tcBorders/>
            <w:shd w:fill="FFFFFF" w:val="clear"/>
            <w:vAlign w:val="center"/>
          </w:tcPr>
          <w:p>
            <w:pPr>
              <w:pStyle w:val="TableContents"/>
              <w:bidi w:val="0"/>
              <w:spacing w:before="0" w:after="283"/>
              <w:jc w:val="right"/>
              <w:rPr/>
            </w:pPr>
            <w:r>
              <w:rPr/>
              <w:t>622,730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76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Restricted stock award liability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162,747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76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Warrants issued in connection with note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53" w:type="dxa"/>
            <w:tcBorders/>
            <w:shd w:fill="FFFFFF" w:val="clear"/>
            <w:vAlign w:val="center"/>
          </w:tcPr>
          <w:p>
            <w:pPr>
              <w:pStyle w:val="TableContents"/>
              <w:bidi w:val="0"/>
              <w:spacing w:before="0" w:after="283"/>
              <w:jc w:val="right"/>
              <w:rPr/>
            </w:pPr>
            <w:r>
              <w:rPr/>
              <w:t>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76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01"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165,719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76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Conversion of simple agreement for future equity into preferred stock</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765" w:type="dxa"/>
            <w:tcBorders/>
            <w:shd w:fill="FFFFFF" w:val="clear"/>
            <w:vAlign w:val="center"/>
          </w:tcPr>
          <w:p>
            <w:pPr>
              <w:pStyle w:val="TableContents"/>
              <w:bidi w:val="0"/>
              <w:spacing w:before="0" w:after="283"/>
              <w:jc w:val="right"/>
              <w:rPr/>
            </w:pPr>
            <w:r>
              <w:rPr/>
              <w:t>18,968,155</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a_006"/>
      <w:bookmarkEnd w:id="33"/>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283"/>
              <w:jc w:val="left"/>
              <w:rPr>
                <w:b/>
              </w:rPr>
            </w:pPr>
            <w:r>
              <w:rPr>
                <w:b/>
              </w:rPr>
              <w:t>1.</w:t>
            </w:r>
          </w:p>
        </w:tc>
        <w:tc>
          <w:tcPr>
            <w:tcW w:w="3140" w:type="dxa"/>
            <w:tcBorders/>
            <w:vAlign w:val="center"/>
          </w:tcPr>
          <w:p>
            <w:pPr>
              <w:pStyle w:val="TableContents"/>
              <w:bidi w:val="0"/>
              <w:spacing w:before="0" w:after="283"/>
              <w:jc w:val="both"/>
              <w:rPr>
                <w:b/>
              </w:rPr>
            </w:pPr>
            <w:r>
              <w:rPr>
                <w:b/>
              </w:rPr>
              <w:t>NATURE OF OPERATIONS</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 (the “Company” or “Serve”) is a corporation formed on January 15, 2021 under the laws of the State of Delaware. The Company is developing next generation robots for last-mile delivery services. The Company is headquartered in Redwood City, California.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entered into a contribution and license agreement with Postmates, LLC, a Delaware limited liability company (“Postmates”). Pursuant to the agreement, Postmates transferred over certain contracts and agreements, intellectual property and patents and hardware and equipment to the Company. As the contribution was without consideration, the agreement did not have any effect on the Company’s financial statements.</w:t>
      </w:r>
    </w:p>
    <w:p>
      <w:pPr>
        <w:pStyle w:val="TextBody"/>
        <w:bidi w:val="0"/>
        <w:spacing w:before="0" w:after="0"/>
        <w:ind w:left="0" w:right="0" w:firstLine="36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15"/>
        <w:gridCol w:w="2150"/>
      </w:tblGrid>
      <w:tr>
        <w:trPr/>
        <w:tc>
          <w:tcPr>
            <w:tcW w:w="215" w:type="dxa"/>
            <w:tcBorders/>
            <w:vAlign w:val="center"/>
          </w:tcPr>
          <w:p>
            <w:pPr>
              <w:pStyle w:val="TableContents"/>
              <w:bidi w:val="0"/>
              <w:spacing w:before="0" w:after="283"/>
              <w:jc w:val="left"/>
              <w:rPr>
                <w:b/>
              </w:rPr>
            </w:pPr>
            <w:r>
              <w:rPr>
                <w:b/>
              </w:rPr>
              <w:t>2.</w:t>
            </w:r>
          </w:p>
        </w:tc>
        <w:tc>
          <w:tcPr>
            <w:tcW w:w="2150" w:type="dxa"/>
            <w:tcBorders/>
            <w:vAlign w:val="center"/>
          </w:tcPr>
          <w:p>
            <w:pPr>
              <w:pStyle w:val="TableContents"/>
              <w:bidi w:val="0"/>
              <w:spacing w:before="0" w:after="283"/>
              <w:jc w:val="both"/>
              <w:rPr>
                <w:b/>
              </w:rPr>
            </w:pPr>
            <w:r>
              <w:rPr>
                <w:b/>
              </w:rPr>
              <w:t>GOING CONCERN</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Company has sustained net losses of $21,855,127 and $21,665,518 for the periods ended December 31, 2022 and 2021, respectively and has negative cash flow from operations for the periods ended December 31, 2022 and 2021. These factors, among others, raise substantial doubt about the Company’s ability to continue as a going concern. The Company’s ability to continue as a going concern for the next twelve months is dependent upon its ability to generate sufficient cash flows from operations to meet its obligations, which it has not been able to accomplish to date, and/or to obtain additional capital financing. No assurance can be given that the Company will be successful in these efforts. The financial statements do not include any adjustments relating to the recoverability and classification of recorded asset amounts or the amounts and classification of liabilities.</w:t>
      </w:r>
    </w:p>
    <w:p>
      <w:pPr>
        <w:pStyle w:val="TextBody"/>
        <w:bidi w:val="0"/>
        <w:spacing w:before="0" w:after="0"/>
        <w:ind w:left="0" w:right="0" w:firstLine="36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15"/>
        <w:gridCol w:w="6380"/>
      </w:tblGrid>
      <w:tr>
        <w:trPr/>
        <w:tc>
          <w:tcPr>
            <w:tcW w:w="215" w:type="dxa"/>
            <w:tcBorders/>
            <w:vAlign w:val="center"/>
          </w:tcPr>
          <w:p>
            <w:pPr>
              <w:pStyle w:val="TableContents"/>
              <w:bidi w:val="0"/>
              <w:spacing w:before="0" w:after="283"/>
              <w:jc w:val="left"/>
              <w:rPr>
                <w:b/>
              </w:rPr>
            </w:pPr>
            <w:r>
              <w:rPr>
                <w:b/>
              </w:rPr>
              <w:t>3.</w:t>
            </w:r>
          </w:p>
        </w:tc>
        <w:tc>
          <w:tcPr>
            <w:tcW w:w="6380"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and reporting policies of the Company conform to accounting principles generally accepted in the United States of America (“GAAP”). The Company’s fiscal year is December 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Reverse Merger and Recapitalization</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July 31, 2023, the board of directors of Patricia Acquisition Corp., a Delaware corporation (“Patricia”) and all of its pre-Merger stockholders approved a restated certificate of incorporation, which was effective upon its filing with the Secretary of State of the State of Delaware on July 31, 2023, and through which Patricia changed its name to “Serve Robotics Inc.”</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July 31, 2023, Patricia’s wholly-owned subsidiary, Serve Acquisition Corp., a corporation formed in the State of Delaware on July 10, 2023 (“Acquisition Sub”), merged with and into Serve Robotics Inc. (“Serve”). Pursuant to this transaction (the “Merger”), Serve was the surviving corporation and became our wholly owned subsidiary, and all of the outstanding stock of Serve was converted into shares of our common stock. All of Serve’s outstanding warrants, options and stock appreciation rights were assumed by us. Following the consummation of the Merger, Serve changed its name to “Serve Operating Co.”</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Merger is being accounted for as a reverse-merger and recapitalization. Serve is the acquirer for financial reporting purposes, and Patricia is the acquired company under the acquisition method of accounting in accordance with FASB ASC Topic 805, Business Combinations. Consequently, the assets, liabilities and operations that will be reflected in the historical financial statements prior to the Merger will be those of Serve and will be recorded at the historical cost basis of Serve, and the consolidated financial statements after completion of the Merger will include the assets, liabilities and results of operations of Serve up to the day prior to the closing of the Merger and the assets, liabilities and results of operations of the combined company from and after the closing date of the Merger.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and the par value of Patricia, $0.0001 per share.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authorized shares of preferred and common stock in the accompanying consolidated balance sheets reflect the historical authorized shares of Serve. Upon the Merger, there were 10,000,000 authorized shares of preferred stock and 300,000,000 shares of common stock.</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 the Closing of the Merger described above, all outstanding shares of the Series Seed Preferred Stock were converted into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unaudited pro-forma balance sheet information as of December 31, 2022 has been prepared to give effect to the exchange of all 7,987,195 outstanding shares of the various Series Seed Preferred Stock, converted into an equal number of common stock as if the exchange had occurred on December 31, 2022. The shares of common stock issuable and the proceeds expected to be received in the Business Combination are excluded from such pro-forma financial information.</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360"/>
        <w:gridCol w:w="60"/>
        <w:gridCol w:w="125"/>
        <w:gridCol w:w="1010"/>
        <w:gridCol w:w="80"/>
        <w:gridCol w:w="60"/>
        <w:gridCol w:w="125"/>
        <w:gridCol w:w="1010"/>
        <w:gridCol w:w="110"/>
      </w:tblGrid>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2022</w:t>
            </w:r>
          </w:p>
        </w:tc>
        <w:tc>
          <w:tcPr>
            <w:tcW w:w="110" w:type="dxa"/>
            <w:tcBorders/>
            <w:vAlign w:val="center"/>
          </w:tcPr>
          <w:p>
            <w:pPr>
              <w:pStyle w:val="TableContents"/>
              <w:bidi w:val="0"/>
              <w:spacing w:before="0" w:after="283"/>
              <w:jc w:val="center"/>
              <w:rPr/>
            </w:pPr>
            <w:r>
              <w:rPr/>
              <w:t> </w:t>
            </w:r>
          </w:p>
        </w:tc>
      </w:tr>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Actual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r>
          </w:p>
        </w:tc>
        <w:tc>
          <w:tcPr>
            <w:tcW w:w="110" w:type="dxa"/>
            <w:tcBorders/>
            <w:vAlign w:val="center"/>
          </w:tcPr>
          <w:p>
            <w:pPr>
              <w:pStyle w:val="TableContents"/>
              <w:bidi w:val="0"/>
              <w:spacing w:before="0" w:after="283"/>
              <w:jc w:val="center"/>
              <w:rPr/>
            </w:pPr>
            <w:r>
              <w:rPr/>
              <w:t> </w:t>
            </w:r>
          </w:p>
        </w:tc>
      </w:tr>
      <w:tr>
        <w:trPr/>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deficit:</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11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Seed 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Seed-1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Seed-2 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Seed-3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1,481</w:t>
            </w:r>
          </w:p>
        </w:tc>
        <w:tc>
          <w:tcPr>
            <w:tcW w:w="11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31,232,737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31,232,737</w:t>
            </w:r>
          </w:p>
        </w:tc>
        <w:tc>
          <w:tcPr>
            <w:tcW w:w="11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Subscription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(165,719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(165,719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(43,520,645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(43,520,645</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(12,452,146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(12,452,146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include the accounts of the Company and its wholly-owned subsidiary Serve Robotics Canada Inc. All inter-company transactions and balances have been eliminated on consolidation.</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the valuations of common stock and options.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At December 31, 2022 and 2021, all of the Company’s cash and cash equivalents were held at one accredited financial institution. As of December 31, 2022 and 2021, the Company had $2,465,719 and $7,715,861, respectively, in excess of insured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maturities of three months or less at the date of purchase to be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0"/>
        <w:ind w:left="0" w:right="0" w:firstLine="36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Level 1—Quoted prices in active markets for identical assets or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Company’s assets and liabilities approximate their fair values.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4 for fair value measurement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products and services delivered to customers and are stated at their net realizable value.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or market value and accounted for using the specific identification cost method. As of December 31, 2022 and 2021, inventory primarily consists of robotic component parts from the Company’s suppliers. Management reviews its inventory for obsolescence and impairment annually and did not record a reserve for obsolete inventory for the years ended December 31, 2022 and 2021.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expense is recognized using the straight-line method over the estimated useful life of the asset, which is three (3) to five (5) years for office equipment and two (2) years for the Company’s current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ASC 606 – Revenue from Contracts with Customers ( “ASC 606”). The Company determines revenue recognition through the following steps:</w:t>
      </w:r>
    </w:p>
    <w:p>
      <w:pPr>
        <w:pStyle w:val="TextBody"/>
        <w:bidi w:val="0"/>
        <w:spacing w:before="0" w:after="0"/>
        <w:ind w:left="0" w:right="0" w:firstLine="36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Identification of a contract with a customer;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both"/>
              <w:rPr/>
            </w:pPr>
            <w:r>
              <w:rPr/>
              <w:t> </w:t>
            </w:r>
          </w:p>
        </w:tc>
      </w:tr>
    </w:tbl>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Identification of the performance obligations in the contract;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both"/>
              <w:rPr/>
            </w:pPr>
            <w:r>
              <w:rPr/>
              <w:t> </w:t>
            </w:r>
          </w:p>
        </w:tc>
      </w:tr>
    </w:tbl>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pPr>
            <w:r>
              <w:rPr/>
              <w:t>Determination of the transaction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both"/>
              <w:rPr/>
            </w:pPr>
            <w:r>
              <w:rPr/>
              <w:t> </w:t>
            </w:r>
          </w:p>
        </w:tc>
      </w:tr>
    </w:tbl>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t>Allocation of the transaction price to the performance obligations in the contract;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283"/>
              <w:jc w:val="both"/>
              <w:rPr/>
            </w:pPr>
            <w:r>
              <w:rPr/>
              <w:t> </w:t>
            </w:r>
          </w:p>
        </w:tc>
      </w:tr>
    </w:tbl>
    <w:tbl>
      <w:tblPr>
        <w:tblW w:w="7473" w:type="dxa"/>
        <w:jc w:val="left"/>
        <w:tblInd w:w="0" w:type="dxa"/>
        <w:tblLayout w:type="fixed"/>
        <w:tblCellMar>
          <w:top w:w="0" w:type="dxa"/>
          <w:left w:w="0" w:type="dxa"/>
          <w:bottom w:w="0" w:type="dxa"/>
          <w:right w:w="0" w:type="dxa"/>
        </w:tblCellMar>
      </w:tblPr>
      <w:tblGrid>
        <w:gridCol w:w="38"/>
        <w:gridCol w:w="17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Recognition of revenue when or as the performance obligations are satisfied.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 To date, The Company has not generated any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delivery revenue was $54,423 and branding fees were $53,575,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allocations of depreciation on robot assets used for revenue producing activities, personnel time related to revenue activities, and costs related to data, software and similar costs that allow the robots to function as intended and for the Company to communicate with the robots while in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includes personnel costs and public relations expenses. Advertising costs are expensed as incurred and included in sales and marketing expense.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expenses primarily consists of costs for field operations personnel that support operations in cities, including supervisors and related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certain property and equipment as well as amortization of allocated portions of right of use assets. These costs are expensed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Costs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the research and development of the Company’s products are expensed as incurred. Research and development costs include product design, hardware and software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dependent on third-party vendors to supply inventory and products for research and development activities and parts for building products. In particular, the Company relies and expects to continue to rely on a small number of vendors. The loss of one of these vendors may have a negative short-term impact on the Company’s operations; however, the Company believes there are acceptable substitute vendors that can be utilized longer-term.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includes standards for how an issuer of equity (including equity shares issued by consolidated entities) classifies and measures on its consolidated balance sheet certain financial instruments with characteristics of both liabilities and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is not required. Management determined that the host contract of the preferred stock is more akin to equity, and accordingly, liability accounting is not required by the Company. The Company has presented preferred stock within stockholders’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directly for the issuance of the preferred stock are recorded as a reduction of gross proceeds received by the Company, resulting in a discount to the preferred stock. The discount is not amortized.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Stock-Based Compensation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compensation in accordance with ASC 718, </w:t>
      </w:r>
      <w:r>
        <w:rPr>
          <w:rFonts w:ascii="Times New Roman;Times;Serif" w:hAnsi="Times New Roman;Times;Serif"/>
          <w:b w:val="false"/>
          <w:i/>
          <w:caps w:val="false"/>
          <w:smallCaps w:val="false"/>
          <w:sz w:val="20"/>
        </w:rPr>
        <w:t xml:space="preserve">Compensation - Stock Compensation. </w:t>
      </w:r>
      <w:r>
        <w:rPr>
          <w:rFonts w:ascii="Times New Roman;Times;Serif" w:hAnsi="Times New Roman;Times;Serif"/>
          <w:b w:val="false"/>
          <w:i w:val="false"/>
          <w:caps w:val="false"/>
          <w:smallCaps w:val="false"/>
          <w:sz w:val="20"/>
        </w:rPr>
        <w:t>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statement of operations in the same manner in which the award recipient’s payroll costs are classified or in which the award recipient’s service payments are classified.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Financial Accounting Standards Board (“FASB”) issued Accounting Standard Update (“ASU”) 2016 02, Leases (ASC 842). This ASU requires a lessee to recognize a right-of-use asset and a lease liability under most operating leases in its balance sheet. The ASU is effective for annual and interim periods beginning after December 15, 2021. Early adoption is permitted. The Company adopted ASC 842 on January 1, 2022 using the modified retrospective approach. The Company elected the package of practical expedients available for existing contracts, which allowed the Company to carry forward our historical assessments of lease identification, lease classification, and initial direct costs. The Company also elected a policy to not apply the recognition requirements of ASC 842 for short-term leases with a term of 12 months or less.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or includes an embedded lease, at inception for each contract or agreement. A contract is or contains an embedded lease if the contract meets all of the below criteria:</w:t>
      </w:r>
    </w:p>
    <w:p>
      <w:pPr>
        <w:pStyle w:val="TextBody"/>
        <w:bidi w:val="0"/>
        <w:spacing w:before="0" w:after="0"/>
        <w:ind w:left="360" w:right="0" w:firstLine="36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23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450" w:type="dxa"/>
            <w:tcBorders/>
            <w:vAlign w:val="center"/>
          </w:tcPr>
          <w:p>
            <w:pPr>
              <w:pStyle w:val="TableContents"/>
              <w:bidi w:val="0"/>
              <w:spacing w:before="0" w:after="283"/>
              <w:jc w:val="both"/>
              <w:rPr/>
            </w:pPr>
            <w:r>
              <w:rPr/>
              <w:t>there is an identified asset</w:t>
            </w:r>
          </w:p>
        </w:tc>
      </w:tr>
    </w:tbl>
    <w:p>
      <w:pPr>
        <w:pStyle w:val="TextBody"/>
        <w:bidi w:val="0"/>
        <w:spacing w:before="0" w:after="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9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040" w:type="dxa"/>
            <w:tcBorders/>
            <w:vAlign w:val="center"/>
          </w:tcPr>
          <w:p>
            <w:pPr>
              <w:pStyle w:val="TableContents"/>
              <w:bidi w:val="0"/>
              <w:spacing w:before="0" w:after="283"/>
              <w:jc w:val="both"/>
              <w:rPr/>
            </w:pPr>
            <w:r>
              <w:rPr/>
              <w:t>the Company obtains substantially all of the economic benefits of the asset</w:t>
            </w:r>
          </w:p>
        </w:tc>
      </w:tr>
    </w:tbl>
    <w:p>
      <w:pPr>
        <w:pStyle w:val="TextBody"/>
        <w:bidi w:val="0"/>
        <w:spacing w:before="0" w:after="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35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180" w:type="dxa"/>
            <w:tcBorders/>
            <w:vAlign w:val="center"/>
          </w:tcPr>
          <w:p>
            <w:pPr>
              <w:pStyle w:val="TableContents"/>
              <w:bidi w:val="0"/>
              <w:spacing w:before="0" w:after="283"/>
              <w:jc w:val="both"/>
              <w:rPr/>
            </w:pPr>
            <w:r>
              <w:rPr/>
              <w:t>the Company has the right to direct the use of the asset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uses the liability method of accounting for income taxes as set forth in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unlikely that the deferred tax assets will not be realized. We assess our income tax positions and record tax benefits for all years subject to examination based upon our evaluation of the facts, circumstances and information available at the reporting date. In accordance with ASC 740-10, for those tax positions where there is a greater than 50% likelihood that a tax benefit will be sustained, the Company’s policy will be to record the largest amount of tax benefit that is more likely than not to be realized upon ultimate settlement with a taxing authority that has full knowledge of all relevant information. For those income tax positions where there is less than 50% likelihood that a tax benefit will be sustained, no tax benefit will be recognized in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December 31, 2022 and 2021, diluted net loss per share is the same as basic net loss per share for each period. Potentially dilutive items outstanding as of December 31, 2022 and 2021 is as follows:</w:t>
      </w:r>
    </w:p>
    <w:p>
      <w:pPr>
        <w:pStyle w:val="TextBody"/>
        <w:bidi w:val="0"/>
        <w:spacing w:before="0" w:after="0"/>
        <w:ind w:left="0" w:right="0" w:hanging="0"/>
        <w:jc w:val="both"/>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5735"/>
        <w:gridCol w:w="60"/>
        <w:gridCol w:w="60"/>
        <w:gridCol w:w="980"/>
        <w:gridCol w:w="60"/>
        <w:gridCol w:w="60"/>
        <w:gridCol w:w="60"/>
        <w:gridCol w:w="980"/>
        <w:gridCol w:w="75"/>
      </w:tblGrid>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Series Seed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3,091,672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2,834,033</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Series Seed-1 preferred stock (convertible 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2,440,411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2,440,411</w:t>
            </w:r>
          </w:p>
        </w:tc>
        <w:tc>
          <w:tcPr>
            <w:tcW w:w="7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Series Seed-2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2,088,696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2,088,696</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Series Seed-3 preferred stock (convertible 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357,836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357,836</w:t>
            </w:r>
          </w:p>
        </w:tc>
        <w:tc>
          <w:tcPr>
            <w:tcW w:w="7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13,912</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Preferred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128,819</w:t>
            </w:r>
          </w:p>
        </w:tc>
        <w:tc>
          <w:tcPr>
            <w:tcW w:w="7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861,309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590,073</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Total potentially dilutive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9,022,946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8,453,780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in the table below are the number of shares that would be issuable upon the conversion of Simple Agreements for Future Equity, for which the number of shares are indeterminable. The table also excludes 417,301 shares of restricted stock considered issued but not outstanding due to vesting requirements (Note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standards could have a material effect on the accompanying consolidated financial statements. As new accounting pronouncements are issued, the Company will adopt those that are applicable under the circumstances.</w:t>
      </w:r>
    </w:p>
    <w:p>
      <w:pPr>
        <w:pStyle w:val="TextBody"/>
        <w:bidi w:val="0"/>
        <w:spacing w:before="0" w:after="0"/>
        <w:ind w:left="0" w:right="0" w:firstLine="36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283"/>
              <w:jc w:val="left"/>
              <w:rPr>
                <w:b/>
              </w:rPr>
            </w:pPr>
            <w:r>
              <w:rPr>
                <w:b/>
              </w:rPr>
              <w:t>4.</w:t>
            </w:r>
          </w:p>
        </w:tc>
        <w:tc>
          <w:tcPr>
            <w:tcW w:w="3725" w:type="dxa"/>
            <w:tcBorders/>
            <w:vAlign w:val="center"/>
          </w:tcPr>
          <w:p>
            <w:pPr>
              <w:pStyle w:val="TableContents"/>
              <w:bidi w:val="0"/>
              <w:spacing w:before="0" w:after="283"/>
              <w:jc w:val="both"/>
              <w:rPr>
                <w:b/>
              </w:rPr>
            </w:pPr>
            <w:r>
              <w:rPr>
                <w:b/>
              </w:rPr>
              <w:t>FAIR VALUE MEASUREMENTS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and liabilities subject to fair value measurements on a recurring basis and the level of inputs used for such measurements were as follows:</w:t>
      </w:r>
    </w:p>
    <w:p>
      <w:pPr>
        <w:pStyle w:val="TextBody"/>
        <w:bidi w:val="0"/>
        <w:spacing w:before="0" w:after="0"/>
        <w:ind w:left="0" w:right="0" w:hanging="0"/>
        <w:jc w:val="both"/>
        <w:rPr>
          <w:caps w:val="false"/>
          <w:smallCaps w:val="false"/>
        </w:rPr>
      </w:pPr>
      <w:r>
        <w:rPr>
          <w:caps w:val="false"/>
          <w:smallCaps w:val="false"/>
        </w:rPr>
        <w:t> </w:t>
      </w:r>
    </w:p>
    <w:tbl>
      <w:tblPr>
        <w:tblW w:w="7742" w:type="dxa"/>
        <w:jc w:val="left"/>
        <w:tblInd w:w="0" w:type="dxa"/>
        <w:tblLayout w:type="fixed"/>
        <w:tblCellMar>
          <w:top w:w="0" w:type="dxa"/>
          <w:left w:w="0" w:type="dxa"/>
          <w:bottom w:w="0" w:type="dxa"/>
          <w:right w:w="0" w:type="dxa"/>
        </w:tblCellMar>
      </w:tblPr>
      <w:tblGrid>
        <w:gridCol w:w="3320"/>
        <w:gridCol w:w="60"/>
        <w:gridCol w:w="449"/>
        <w:gridCol w:w="305"/>
        <w:gridCol w:w="83"/>
        <w:gridCol w:w="83"/>
        <w:gridCol w:w="449"/>
        <w:gridCol w:w="305"/>
        <w:gridCol w:w="83"/>
        <w:gridCol w:w="83"/>
        <w:gridCol w:w="194"/>
        <w:gridCol w:w="1527"/>
        <w:gridCol w:w="83"/>
        <w:gridCol w:w="83"/>
        <w:gridCol w:w="333"/>
        <w:gridCol w:w="227"/>
        <w:gridCol w:w="75"/>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28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w:t>
              <w:br/>
              <w:t>as of December 31, 2022 Using:</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21"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Simple agreement for future equity</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527" w:type="dxa"/>
            <w:tcBorders>
              <w:bottom w:val="single" w:sz="12" w:space="0" w:color="000000"/>
            </w:tcBorders>
            <w:shd w:fill="CCEEFF" w:val="clear"/>
            <w:tcMar>
              <w:bottom w:w="28" w:type="dxa"/>
            </w:tcMar>
            <w:vAlign w:val="center"/>
          </w:tcPr>
          <w:p>
            <w:pPr>
              <w:pStyle w:val="TableContents"/>
              <w:bidi w:val="0"/>
              <w:spacing w:before="0" w:after="283"/>
              <w:jc w:val="right"/>
              <w:rPr/>
            </w:pPr>
            <w:r>
              <w:rPr/>
              <w:t>13,150,745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27" w:type="dxa"/>
            <w:tcBorders>
              <w:bottom w:val="double" w:sz="10" w:space="0" w:color="000000"/>
            </w:tcBorders>
            <w:shd w:fill="FFFFFF" w:val="clear"/>
            <w:tcMar>
              <w:bottom w:w="28" w:type="dxa"/>
            </w:tcMar>
            <w:vAlign w:val="center"/>
          </w:tcPr>
          <w:p>
            <w:pPr>
              <w:pStyle w:val="TableContents"/>
              <w:bidi w:val="0"/>
              <w:spacing w:before="0" w:after="283"/>
              <w:jc w:val="right"/>
              <w:rPr/>
            </w:pPr>
            <w:r>
              <w:rPr/>
              <w:t>13,150,745</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33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27"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simple agreements for future equity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the settlement outcomes include unobservable Level 3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assumed a 85% probability of a liquidity and/or equity financing events as the primary ultimate settlement outcomes of the future equity obligations As of December 31, 2022, the Company calculated the potential number of shares to be converted based on the agreement terms (see Note 7) and the Company’s respective capitalization as of December 31, 2022. In 2021, the Company determined the fair value of the simple agreements for future equity prior to conversion based on the number of shares that the obligations converted into at the underlying fair value of the Series Seed preferred stock. After conversion in 2021, there were no simple agreements for future equity outstanding as of December 31, 2021.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Level 3 liabilities measured at fair value for the periods ended December 31, 2022 and 2021:</w:t>
      </w:r>
    </w:p>
    <w:p>
      <w:pPr>
        <w:pStyle w:val="TextBody"/>
        <w:bidi w:val="0"/>
        <w:spacing w:before="0" w:after="0"/>
        <w:ind w:left="0" w:right="0" w:hanging="0"/>
        <w:jc w:val="both"/>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6095"/>
        <w:gridCol w:w="60"/>
        <w:gridCol w:w="168"/>
        <w:gridCol w:w="1412"/>
        <w:gridCol w:w="110"/>
      </w:tblGrid>
      <w:tr>
        <w:trPr/>
        <w:tc>
          <w:tcPr>
            <w:tcW w:w="6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Simple</w:t>
            </w:r>
          </w:p>
        </w:tc>
        <w:tc>
          <w:tcPr>
            <w:tcW w:w="11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Agreement For</w:t>
            </w:r>
          </w:p>
        </w:tc>
        <w:tc>
          <w:tcPr>
            <w:tcW w:w="11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Future Equity</w:t>
            </w:r>
          </w:p>
        </w:tc>
        <w:tc>
          <w:tcPr>
            <w:tcW w:w="11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Balance at inception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1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283"/>
              <w:jc w:val="left"/>
              <w:rPr/>
            </w:pPr>
            <w:r>
              <w:rPr/>
              <w:t>Issuance of simple agreements for future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pPr>
            <w:r>
              <w:rPr/>
              <w:t>7,925,000</w:t>
            </w:r>
          </w:p>
        </w:tc>
        <w:tc>
          <w:tcPr>
            <w:tcW w:w="11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11,043,155</w:t>
            </w:r>
          </w:p>
        </w:tc>
        <w:tc>
          <w:tcPr>
            <w:tcW w:w="11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283"/>
              <w:jc w:val="left"/>
              <w:rPr/>
            </w:pPr>
            <w:r>
              <w:rPr/>
              <w:t>Conversion to Series Seed-1, Seed-2 and Seed-3 preferred stock</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shd w:fill="FFFFFF" w:val="clear"/>
            <w:tcMar>
              <w:bottom w:w="28" w:type="dxa"/>
            </w:tcMar>
            <w:vAlign w:val="center"/>
          </w:tcPr>
          <w:p>
            <w:pPr>
              <w:pStyle w:val="TableContents"/>
              <w:bidi w:val="0"/>
              <w:spacing w:before="0" w:after="283"/>
              <w:jc w:val="right"/>
              <w:rPr/>
            </w:pPr>
            <w:r>
              <w:rPr/>
              <w:t>(18,968,155</w:t>
            </w:r>
          </w:p>
        </w:tc>
        <w:tc>
          <w:tcPr>
            <w:tcW w:w="110" w:type="dxa"/>
            <w:tcBorders/>
            <w:shd w:fill="FFFFFF" w:val="clear"/>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283"/>
              <w:jc w:val="left"/>
              <w:rPr/>
            </w:pPr>
            <w:r>
              <w:rPr/>
              <w:t>Issuance of simple agreements for future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pPr>
            <w:r>
              <w:rPr/>
              <w:t>12,885,001</w:t>
            </w:r>
          </w:p>
        </w:tc>
        <w:tc>
          <w:tcPr>
            <w:tcW w:w="11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shd w:fill="CCEEFF" w:val="clear"/>
            <w:tcMar>
              <w:bottom w:w="28" w:type="dxa"/>
            </w:tcMar>
            <w:vAlign w:val="center"/>
          </w:tcPr>
          <w:p>
            <w:pPr>
              <w:pStyle w:val="TableContents"/>
              <w:bidi w:val="0"/>
              <w:spacing w:before="0" w:after="283"/>
              <w:jc w:val="right"/>
              <w:rPr/>
            </w:pPr>
            <w:r>
              <w:rPr/>
              <w:t>265,744</w:t>
            </w:r>
          </w:p>
        </w:tc>
        <w:tc>
          <w:tcPr>
            <w:tcW w:w="11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283"/>
              <w:jc w:val="left"/>
              <w:rPr/>
            </w:pPr>
            <w:r>
              <w:rPr/>
              <w:t>Outstanding as of December 31, 2022</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12" w:type="dxa"/>
            <w:tcBorders>
              <w:bottom w:val="double" w:sz="10" w:space="0" w:color="000000"/>
            </w:tcBorders>
            <w:shd w:fill="FFFFFF" w:val="clear"/>
            <w:tcMar>
              <w:bottom w:w="28" w:type="dxa"/>
            </w:tcMar>
            <w:vAlign w:val="center"/>
          </w:tcPr>
          <w:p>
            <w:pPr>
              <w:pStyle w:val="TableContents"/>
              <w:bidi w:val="0"/>
              <w:spacing w:before="0" w:after="283"/>
              <w:jc w:val="right"/>
              <w:rPr/>
            </w:pPr>
            <w:r>
              <w:rPr/>
              <w:t>13,150,745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15"/>
        <w:gridCol w:w="4175"/>
      </w:tblGrid>
      <w:tr>
        <w:trPr/>
        <w:tc>
          <w:tcPr>
            <w:tcW w:w="215" w:type="dxa"/>
            <w:tcBorders/>
            <w:vAlign w:val="center"/>
          </w:tcPr>
          <w:p>
            <w:pPr>
              <w:pStyle w:val="TableContents"/>
              <w:bidi w:val="0"/>
              <w:spacing w:before="0" w:after="283"/>
              <w:jc w:val="left"/>
              <w:rPr>
                <w:b/>
              </w:rPr>
            </w:pPr>
            <w:r>
              <w:rPr>
                <w:b/>
              </w:rPr>
              <w:t>5.</w:t>
            </w:r>
          </w:p>
        </w:tc>
        <w:tc>
          <w:tcPr>
            <w:tcW w:w="4175" w:type="dxa"/>
            <w:tcBorders/>
            <w:vAlign w:val="center"/>
          </w:tcPr>
          <w:p>
            <w:pPr>
              <w:pStyle w:val="TableContents"/>
              <w:bidi w:val="0"/>
              <w:spacing w:before="0" w:after="283"/>
              <w:jc w:val="both"/>
              <w:rPr>
                <w:b/>
              </w:rPr>
            </w:pPr>
            <w:r>
              <w:rPr>
                <w:b/>
              </w:rPr>
              <w:t>PROPERTY AND EQUIPMENT, NET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property and equipment, net at December 31:</w:t>
      </w:r>
    </w:p>
    <w:p>
      <w:pPr>
        <w:pStyle w:val="TextBody"/>
        <w:bidi w:val="0"/>
        <w:spacing w:before="0" w:after="0"/>
        <w:ind w:left="0" w:right="0" w:firstLine="450"/>
        <w:jc w:val="left"/>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2990"/>
        <w:gridCol w:w="60"/>
        <w:gridCol w:w="140"/>
        <w:gridCol w:w="980"/>
        <w:gridCol w:w="95"/>
        <w:gridCol w:w="60"/>
        <w:gridCol w:w="140"/>
        <w:gridCol w:w="800"/>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245,747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162,085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Robot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3,561,288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3,807,035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162,085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(430,608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(42,469</w:t>
            </w:r>
          </w:p>
        </w:tc>
        <w:tc>
          <w:tcPr>
            <w:tcW w:w="110"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3,376,427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119,616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capitalized $3,561,288 in its next-generation of robot assets, which were financed as part of a failed sales and leaseback transaction (Note 11). Such are held as collateral under the agreement, see Note 11.</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$388,139 and $42,469 for the periods ended December 31, 2022 and 2021, respectively.</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15"/>
        <w:gridCol w:w="1970"/>
      </w:tblGrid>
      <w:tr>
        <w:trPr/>
        <w:tc>
          <w:tcPr>
            <w:tcW w:w="215" w:type="dxa"/>
            <w:tcBorders/>
            <w:vAlign w:val="center"/>
          </w:tcPr>
          <w:p>
            <w:pPr>
              <w:pStyle w:val="TableContents"/>
              <w:bidi w:val="0"/>
              <w:spacing w:before="0" w:after="283"/>
              <w:jc w:val="left"/>
              <w:rPr>
                <w:b/>
              </w:rPr>
            </w:pPr>
            <w:r>
              <w:rPr>
                <w:b/>
              </w:rPr>
              <w:t>6.</w:t>
            </w:r>
          </w:p>
        </w:tc>
        <w:tc>
          <w:tcPr>
            <w:tcW w:w="1970" w:type="dxa"/>
            <w:tcBorders/>
            <w:vAlign w:val="center"/>
          </w:tcPr>
          <w:p>
            <w:pPr>
              <w:pStyle w:val="TableContents"/>
              <w:bidi w:val="0"/>
              <w:spacing w:before="0" w:after="283"/>
              <w:jc w:val="both"/>
              <w:rPr>
                <w:b/>
              </w:rPr>
            </w:pPr>
            <w:r>
              <w:rPr>
                <w:b/>
              </w:rPr>
              <w:t>NOTE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Company entered into a promissory note with Silicon Valley Bank (“SVB”) for a principal amount of $2,500,000. The note matures on March 1, 2025 and bears interest at the greater of 3.25% or prime rate. The loan had interest-only payments through September 2022, and then requires monthly principal payments of $83,333, plus interest, beginning October 2022. Through December 31, 2022, the Company has made principal repayments totaling $250,000 and $2,250,000 remained outstanding. Interest expense was $58,463 for the year ended December 31, 2022, all of which was paid. The note is secured by the Company’s assets, subject to certain and permitted subordination.</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note, the Company issued SVB 40,292 warrants to purchase common stock. The warrants have an exercise price of $0.49 per share, are immediately exercisable and have a term of 12 years. The fair value of the warrant was $49,000, which was recognized as a debt discount and will be amortized to interest expense over the life of the note. During the year ended December 31, 2022, amortization of debt discount was $13,600.</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note payable, net of unamortized discount of $35,400, was $2,214,600. The following is a summary of future principal payments owed as of December 31, 2022:</w:t>
      </w:r>
    </w:p>
    <w:p>
      <w:pPr>
        <w:pStyle w:val="TextBody"/>
        <w:bidi w:val="0"/>
        <w:spacing w:before="0" w:after="0"/>
        <w:ind w:left="0" w:right="0" w:firstLine="450"/>
        <w:jc w:val="both"/>
        <w:rPr>
          <w:caps w:val="false"/>
          <w:smallCaps w:val="false"/>
        </w:rPr>
      </w:pPr>
      <w:r>
        <w:rPr>
          <w:caps w:val="false"/>
          <w:smallCaps w:val="false"/>
        </w:rPr>
        <w:t> </w:t>
      </w:r>
    </w:p>
    <w:tbl>
      <w:tblPr>
        <w:tblW w:w="4065" w:type="dxa"/>
        <w:jc w:val="left"/>
        <w:tblInd w:w="0" w:type="dxa"/>
        <w:tblLayout w:type="fixed"/>
        <w:tblCellMar>
          <w:top w:w="0" w:type="dxa"/>
          <w:left w:w="0" w:type="dxa"/>
          <w:bottom w:w="28" w:type="dxa"/>
          <w:right w:w="0" w:type="dxa"/>
        </w:tblCellMar>
      </w:tblPr>
      <w:tblGrid>
        <w:gridCol w:w="2810"/>
        <w:gridCol w:w="60"/>
        <w:gridCol w:w="140"/>
        <w:gridCol w:w="980"/>
        <w:gridCol w:w="75"/>
      </w:tblGrid>
      <w:tr>
        <w:trPr/>
        <w:tc>
          <w:tcPr>
            <w:tcW w:w="2810" w:type="dxa"/>
            <w:tcBorders>
              <w:bottom w:val="single" w:sz="12" w:space="0" w:color="000000"/>
            </w:tcBorders>
            <w:vAlign w:val="center"/>
          </w:tcPr>
          <w:p>
            <w:pPr>
              <w:pStyle w:val="TableContents"/>
              <w:bidi w:val="0"/>
              <w:spacing w:before="0" w:after="283"/>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2,250,000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5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15"/>
        <w:gridCol w:w="3845"/>
      </w:tblGrid>
      <w:tr>
        <w:trPr/>
        <w:tc>
          <w:tcPr>
            <w:tcW w:w="215" w:type="dxa"/>
            <w:tcBorders/>
            <w:vAlign w:val="center"/>
          </w:tcPr>
          <w:p>
            <w:pPr>
              <w:pStyle w:val="TableContents"/>
              <w:bidi w:val="0"/>
              <w:spacing w:before="0" w:after="283"/>
              <w:jc w:val="left"/>
              <w:rPr>
                <w:b/>
              </w:rPr>
            </w:pPr>
            <w:r>
              <w:rPr>
                <w:b/>
              </w:rPr>
              <w:t>7.</w:t>
            </w:r>
          </w:p>
        </w:tc>
        <w:tc>
          <w:tcPr>
            <w:tcW w:w="3845" w:type="dxa"/>
            <w:tcBorders/>
            <w:vAlign w:val="center"/>
          </w:tcPr>
          <w:p>
            <w:pPr>
              <w:pStyle w:val="TableContents"/>
              <w:bidi w:val="0"/>
              <w:spacing w:before="0" w:after="283"/>
              <w:jc w:val="both"/>
              <w:rPr>
                <w:b/>
              </w:rPr>
            </w:pPr>
            <w:r>
              <w:rPr>
                <w:b/>
              </w:rPr>
              <w:t>FUTURE EQUITY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and 2021, the Company entered into Simple Agreements for Future Equity (“SAFE”) for aggregate purchase amounts of $12,885,001 and $7,925,000, respectively. The 2022 agreements, which provide the right of the investors to future equity in the Company, are subject to a valuation cap of $65.0 million for $2,300,000 of the purchase amount with the remaining agreements being uncapped. The agreements have a discount rate of 80%. The 2021 agreements had a valuation cap of $35.0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2022 SAFEs, if there is a preferred equity financing before the termination of the SAFEs, on the initial closing of such equity financing, this SAFE will automatically convert into the number of shares of Safe Preferred Stock equal to the Purchase Amount divided by the Discount Price or Conversion Price. The Discount Price is the price per share of the Standard Preferred Stock sold in the equity financing multiplied by the Discount Rate. The Conversion Price is 1) the Safe Price or (2) the Discount Price, whichever calculation results in a greater number of shares of Safe Preferred Stock. The SAFE price is the price per share equal to the valuation cap divided by the Company’s dilutive shares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completed an equity financing of Series Seed preferred stock (see Note8) at a price per share of $3.1187. Upon this financing, all of the outstanding SAFEs then outstanding, automatically converted into Series Seed 1-3 preferred stock. Immediately prior to the conversion, the Company recorded a fair value adjustment to reflect the number of shares that the obligations converted into at the underlying fair value of the Series Seed preferred stock. At conversion, the fair value of the obligations was $18,968,155, which were then converted into (i) 2,440,411 shares of Series Seed-1 preferred stock, (ii) 2,088,696 shares of Series Seed-2 preferred stock, and (iii) 357,836 shares of Series Seed-3 preferred stock.</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15"/>
        <w:gridCol w:w="4385"/>
      </w:tblGrid>
      <w:tr>
        <w:trPr/>
        <w:tc>
          <w:tcPr>
            <w:tcW w:w="215" w:type="dxa"/>
            <w:tcBorders/>
            <w:vAlign w:val="center"/>
          </w:tcPr>
          <w:p>
            <w:pPr>
              <w:pStyle w:val="TableContents"/>
              <w:bidi w:val="0"/>
              <w:spacing w:before="0" w:after="283"/>
              <w:jc w:val="left"/>
              <w:rPr>
                <w:b/>
              </w:rPr>
            </w:pPr>
            <w:r>
              <w:rPr>
                <w:b/>
              </w:rPr>
              <w:t>8.</w:t>
            </w:r>
          </w:p>
        </w:tc>
        <w:tc>
          <w:tcPr>
            <w:tcW w:w="4385" w:type="dxa"/>
            <w:tcBorders/>
            <w:vAlign w:val="center"/>
          </w:tcPr>
          <w:p>
            <w:pPr>
              <w:pStyle w:val="TableContents"/>
              <w:bidi w:val="0"/>
              <w:spacing w:before="0" w:after="283"/>
              <w:jc w:val="both"/>
              <w:rPr>
                <w:b/>
              </w:rPr>
            </w:pPr>
            <w:r>
              <w:rPr>
                <w:b/>
              </w:rPr>
              <w:t>STOCKHOLDERS’ EQUITY (DEFICIT)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Series Seed, Series Seed-1, Series Seed-2 and Series Seed-3 convertible preferred stock (collectively referred to as “Preferred Stock”). As of December 31, 2022, the Company’s certificate of incorporation, as amended and restated, authorized the Company to issue a total of 10,090,150 shares of Preferred Stock, of which 4,008,079 shares were designated as Series Seed Preferred Stock, 3,037,227 shares were designated as Series Seed-1 Preferred Stock, 2,599,497 shares were designated as Series Seed-2 Preferred Stock and 445,437 shares were designated as Series Seed-3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Preferred Stock have the following rights and preferences: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Stock are entitled to vote, together with the holders of common stock as a single class, on all matters submitted to stockholders for a vote and have the right to vote the number of shares equal to the number of shares of common stock into which each share of Preferred Stock could convert on the record date for determination of stockholders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holders, voting together as a single class, shall be entitled to elect one director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declare, pay or set aside any dividends on shares of any class or series of capital stock of the Company unless the holders of Preferred Stock then outstanding shall first receive, or simultaneously receive, on a pari passu, equal priority basis a non-cumulative dividend on each outstanding share of each series of Preferred Stock in an amount to 8% of the Original Issue Price per share per annum for each series of Preferred Stock. The foregoing dividends shall not be cumulative and shall be paid, when, as and if declared by the Company’s board of directors. The Original Issue Price is (i) $3.8814 per share for the Series Seed Preferred Stock, (ii) $1.5161 per share for Series Seed-1 Preferred Stock, (iii) 2.7170 per share for Series Seed-2 Preferred Stock and (iv) $3.4932 per share for Series Seed-3 Preferred Stock. After payment to Preferred stockholders, any additional dividends shall be distributed among all holders of Common Stock and Preferred Stock in proportion to the number of shares of Common Stock that would be held if all holders of Preferred Stock were converted.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 or deemed liquidation event, the preferred stockholders, on a pari passu basis, shall be entitled to a liquidation preference equal to the greater of (i) the applicable Original Issuance Price applicable to each series, plus any dividends declared but unpaid on such share and (ii) such amount per share as would have been payable had all shares of such series of Preferred Stock been converted into Common Stock. After the payment of all preferential amounts to preferred stockholders, the remaining assets available for distribution shall be distributed among common stockholders on a pro-rata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liquidation preferences were as follows:</w:t>
      </w:r>
    </w:p>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2795"/>
        <w:gridCol w:w="60"/>
        <w:gridCol w:w="140"/>
        <w:gridCol w:w="1100"/>
        <w:gridCol w:w="60"/>
        <w:gridCol w:w="60"/>
        <w:gridCol w:w="140"/>
        <w:gridCol w:w="110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11,999,997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10,999,998</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Series Seed-1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3,699,950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3,699,950</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Seed-2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5,674,962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5,674,962</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Series Seed-3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1,250,000</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22,629,909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21,624,910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is convertible into common stock, at the option of the holder, at any time after the date of issuance. In addition, each share of Preferred Stock will be automatically converted into shares of common stock at the applicable conversion ratio then in effect (i) upon the closing of a firm-commitment public offering resulting in at least $50,000,000 of gross proceeds to the Company (or $11.6442 per share), subject to appropriate adjustment in the event of any stock dividend, stock split, combination or other similar recapitalization, or (ii) upon the written consent of the holders of a majority of the then-outstanding shares of Preferred Stock, voting together as a single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ratio of each series of Preferred Stock is determined by dividing the original issue price of each series by the conversion price of each series. The conversion price per share is (i) $3.8814 per share for the Series Seed Preferred Stock, (ii) $1.5161 per share for Series Seed-1 Preferred Stock, (iii) 2.7170 per share for Series Seed-2 Preferred Stock and (iv) $3.4932 per share for Series Seed-3 Preferred Stock, each subject to appropriate adjustment in the event of any stock dividend, stock split, combination or other similar recapitalization.  Accordingly, as of December 31, 2022, each share outstanding of each series of Preferred Stock was convertible into shares of common stock on a one-for-one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issues additional securities at a purchase price less than the conversion price for a series of Preferred Stock, the conversion price shall be adjusted pursuant an anti-dilution formula defined in the certificate of incorporation, as 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Company issued 257,639 shares of Series Seed Preferred Stock for gross proceeds of $999,999, or $3.8814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issued 2,834,033 shares of Series Seed Preferred Stock for gross proceeds of $10,999,998, or $3.8814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conversion of SAFEs into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Company’s amended to its certificate of incorporation in February 2022, the Company authorized 21,200,000 shares of common stock at $0.0001 par value as of December 31, 2022 (See Note 3 for presentation of authorized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have voting rights of one vote per share and are entitled to elect two directors of the Company. The voting, dividend, and liquidation rights of the holders of common stock are subject to and qualified by the rights, powers, and preferences of preferred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December 31, 2021, the Company issued 3,535,400 shares of common stock to founders for proceeds of $4,400. Such are restricted and subject to vesting over four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December 31, 2021, the Company issued 3,575,723 shares of restricted common stock, net of repurchases, for proceeds of $4,646. Of the restricted shares granted, 1,208,846 awards were originally subject to specified vesting milestones there were not expected to be met and therefore, no expense was recorded. In October 2022, the Company modified the milestone awards to eliminate the milestone requirements, to the extent they were still outstanding as of September 15, 2022. The shares became subject to time vesting, monthly over four years. Due to the modification, the Company recognized additional stock compensation of $137,196. The awards without milestones, vest monthly over time, generally over a four-year period with a one-year cliff.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issued 338,121 shares of restricted common stock for full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consolidated balance sheets. The Company recorded a corresponding restricted stock award liability of $162,747 for the potential settlement if the call right for the shares of restricted common stock is exercised by the Company per the terms of the agreement, and unvested shares are repurchased. The Company reduced the liability and increased additional paid-in capital for the value of the note associated with vested shares no longer subject to the call right. In connection with this grant, the Company recognized stock compensation of $4,250.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inclusive of founders restricted stock described above, 2,354,466 shares of common stock had vested and 6,826,352 shares of common stock were outstanding. Total issued shares of common stock totaled 7,161,654, which includes the shares of restricted stock issued with the recourse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2022 and 2021, the Company recorded stock-based compensation pertaining to vesting of restricted common stock of $141,446 and $0,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repurchased restricted stock awards of 287,591 shares of common stock for nominal value.</w:t>
      </w:r>
    </w:p>
    <w:p>
      <w:pPr>
        <w:pStyle w:val="TextBody"/>
        <w:bidi w:val="0"/>
        <w:spacing w:before="0" w:after="0"/>
        <w:ind w:left="0" w:right="0" w:firstLine="36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15"/>
        <w:gridCol w:w="3845"/>
      </w:tblGrid>
      <w:tr>
        <w:trPr/>
        <w:tc>
          <w:tcPr>
            <w:tcW w:w="215" w:type="dxa"/>
            <w:tcBorders/>
            <w:vAlign w:val="center"/>
          </w:tcPr>
          <w:p>
            <w:pPr>
              <w:pStyle w:val="TableContents"/>
              <w:bidi w:val="0"/>
              <w:spacing w:before="0" w:after="283"/>
              <w:jc w:val="left"/>
              <w:rPr>
                <w:b/>
              </w:rPr>
            </w:pPr>
            <w:r>
              <w:rPr>
                <w:b/>
              </w:rPr>
              <w:t>9.</w:t>
            </w:r>
          </w:p>
        </w:tc>
        <w:tc>
          <w:tcPr>
            <w:tcW w:w="3845" w:type="dxa"/>
            <w:tcBorders/>
            <w:vAlign w:val="center"/>
          </w:tcPr>
          <w:p>
            <w:pPr>
              <w:pStyle w:val="TableContents"/>
              <w:bidi w:val="0"/>
              <w:spacing w:before="0" w:after="283"/>
              <w:jc w:val="both"/>
              <w:rPr>
                <w:b/>
              </w:rPr>
            </w:pPr>
            <w:r>
              <w:rPr>
                <w:b/>
              </w:rPr>
              <w:t>STOCK-BASED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Serve Robotics 2021 Equity Incentive Plan</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December 31, 2022. The option exercise price generally may not be less than the underlying stock’s fair market value at the date of the grant and generally have a term of ten years. The amounts granted each calendar year to an employee or non-employee is limited depending on the type of award. As of December 31, 2022, there were 4,009,354 shares available for grant under the 2021 Plan. Stock options granted under the 2021 Plan typically vest over a four-year period, with a 1-year cliff as well as via specified milestones.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and 2022, the Company granted 590,073 and 639,682 options, with weighted average grant date fair values of $0.34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information related to stock options for the periods ended December 31, 2022 and 2021 is as follows:</w:t>
      </w:r>
    </w:p>
    <w:p>
      <w:pPr>
        <w:pStyle w:val="TextBody"/>
        <w:bidi w:val="0"/>
        <w:spacing w:before="0" w:after="0"/>
        <w:ind w:left="0" w:right="0" w:hanging="0"/>
        <w:jc w:val="left"/>
        <w:rPr>
          <w:caps w:val="false"/>
          <w:smallCaps w:val="false"/>
        </w:rPr>
      </w:pPr>
      <w:r>
        <w:rPr>
          <w:caps w:val="false"/>
          <w:smallCaps w:val="false"/>
        </w:rPr>
        <w:t> </w:t>
      </w:r>
    </w:p>
    <w:tbl>
      <w:tblPr>
        <w:tblW w:w="7904" w:type="dxa"/>
        <w:jc w:val="left"/>
        <w:tblInd w:w="0" w:type="dxa"/>
        <w:tblLayout w:type="fixed"/>
        <w:tblCellMar>
          <w:top w:w="0" w:type="dxa"/>
          <w:left w:w="0" w:type="dxa"/>
          <w:bottom w:w="0" w:type="dxa"/>
          <w:right w:w="0" w:type="dxa"/>
        </w:tblCellMar>
      </w:tblPr>
      <w:tblGrid>
        <w:gridCol w:w="3080"/>
        <w:gridCol w:w="60"/>
        <w:gridCol w:w="60"/>
        <w:gridCol w:w="755"/>
        <w:gridCol w:w="80"/>
        <w:gridCol w:w="60"/>
        <w:gridCol w:w="708"/>
        <w:gridCol w:w="2161"/>
        <w:gridCol w:w="60"/>
        <w:gridCol w:w="60"/>
        <w:gridCol w:w="125"/>
        <w:gridCol w:w="620"/>
        <w:gridCol w:w="75"/>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Intrinsic</w:t>
              <w:br/>
              <w:t>Value</w:t>
            </w:r>
          </w:p>
        </w:tc>
        <w:tc>
          <w:tcPr>
            <w:tcW w:w="75" w:type="dxa"/>
            <w:tcBorders/>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as of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2161"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590,073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2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2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590,073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2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639,682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21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(368,446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21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21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Exercisable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Exercisable as of December 31,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weighted average duration to expiration of outstanding options was 9.2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2021 options granted; 159,876 options were granted with performance conditions based on specified milestones. As of December 31, 2021, none of these milestones were met or were probable of being met and the Company did not recognize any stock-based compensation expense pertaining to these options. In October 2022, the Company agreed to modify previous common stock and option equity awards that were subject to milestone vesting, to the extent they were still outstanding as of September 15, 2022, to time based vesting. All such awards had the milestones eliminated, and vest monthly over four years. Certain shares are subject to acceleration of vesting upon termination without cause. The value of the options before and after modification were not significantly different. The additional expense upon modification is included in the overall $57,860 of stock compensation from options disclosed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of $57,860 and $7,111 was recognized under ASC 718 for the periods ended December 31, 2022 and 2021, respectively. Total unrecognized compensation cost related to non-vested stock option awards amounted to approximately $303,000 as of December 31, 2022, which will be recognized over a weighted average period of 2.06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were valued using the Black-Scholes pricing model using the range of inputs as indicated below:</w:t>
      </w:r>
    </w:p>
    <w:p>
      <w:pPr>
        <w:pStyle w:val="TextBody"/>
        <w:bidi w:val="0"/>
        <w:spacing w:before="0" w:after="0"/>
        <w:ind w:left="0" w:right="0" w:hanging="0"/>
        <w:jc w:val="both"/>
        <w:rPr>
          <w:caps w:val="false"/>
          <w:smallCaps w:val="false"/>
        </w:rPr>
      </w:pPr>
      <w:r>
        <w:rPr>
          <w:caps w:val="false"/>
          <w:smallCaps w:val="false"/>
        </w:rPr>
        <w:t> </w:t>
      </w:r>
    </w:p>
    <w:tbl>
      <w:tblPr>
        <w:tblW w:w="5978" w:type="dxa"/>
        <w:jc w:val="left"/>
        <w:tblInd w:w="0" w:type="dxa"/>
        <w:tblLayout w:type="fixed"/>
        <w:tblCellMar>
          <w:top w:w="0" w:type="dxa"/>
          <w:left w:w="0" w:type="dxa"/>
          <w:bottom w:w="0" w:type="dxa"/>
          <w:right w:w="0" w:type="dxa"/>
        </w:tblCellMar>
      </w:tblPr>
      <w:tblGrid>
        <w:gridCol w:w="2585"/>
        <w:gridCol w:w="60"/>
        <w:gridCol w:w="168"/>
        <w:gridCol w:w="1246"/>
        <w:gridCol w:w="215"/>
        <w:gridCol w:w="60"/>
        <w:gridCol w:w="112"/>
        <w:gridCol w:w="1302"/>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For the</w:t>
              <w:br/>
              <w:t>Period from</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January 15,</w:t>
              <w:br/>
              <w:t>2021</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(inception) to</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Risk-free interest rate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2.98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1.33</w:t>
            </w:r>
          </w:p>
        </w:tc>
        <w:tc>
          <w:tcPr>
            <w:tcW w:w="23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Expected term (in years)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sz w:val="20"/>
              </w:rPr>
            </w:pPr>
            <w:r>
              <w:rPr>
                <w:sz w:val="20"/>
              </w:rPr>
              <w:t>6.0-6.3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r>
              <w:rPr>
                <w:sz w:val="20"/>
              </w:rPr>
              <w:t xml:space="preserve">5.5-6.3 </w:t>
            </w:r>
          </w:p>
        </w:tc>
        <w:tc>
          <w:tcPr>
            <w:tcW w:w="23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Expected volatility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79.1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79.1</w:t>
            </w:r>
          </w:p>
        </w:tc>
        <w:tc>
          <w:tcPr>
            <w:tcW w:w="23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Expected dividend yield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SVB note (see Note 6), the Company issued 40,292 warrants to purchase common stock. The warrants have an exercise price of $0.49 per share, are immediately exercisable and have a term of 12 years. The fair value of the warrant was $49,000. The Black-Scholes inputs used were similar to those described in stock-options above, other than the contractual term was used for expected life.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December 31, 2021, the Company granted 13,911 warrants to purchase common stock, exercisable at $3.88 per share. The warrants were valued using the Black-Scholes option-pricing model for a fair value of $0.11 per share and $1,603 was recognized as stock-compensation expense. The warrants vest monthly over 12 months. The Black-Scholes inputs used were similar to those described in stock-options above, other than the contractual term was used for expected life.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December 31, 2021 the Company issued 128,819 warrants to purchase shares of preferred stock, exercisable at $3.88 per share. The warrants were valued using the Black-Scholes option pricing model and have a grant-date fair value of $2.78 per share, or total fair value of $373,704 using inputs similar to those described in stock options above other than the contractual term was used for expected life. The warrants vest based on specified milestones. As of December 31, 2022 and 2021, the milestones were not met and no warrants had vested. Therefore, the Company did not recognize any stock-based compensation expense pertaining to these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Classification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was classified in the statements of operations as follows:</w:t>
      </w:r>
    </w:p>
    <w:p>
      <w:pPr>
        <w:pStyle w:val="TextBody"/>
        <w:bidi w:val="0"/>
        <w:spacing w:before="0" w:after="0"/>
        <w:ind w:left="0" w:right="0" w:firstLine="36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585"/>
        <w:gridCol w:w="60"/>
        <w:gridCol w:w="140"/>
        <w:gridCol w:w="800"/>
        <w:gridCol w:w="60"/>
        <w:gridCol w:w="60"/>
        <w:gridCol w:w="140"/>
        <w:gridCol w:w="56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vAlign w:val="center"/>
          </w:tcPr>
          <w:p>
            <w:pPr>
              <w:pStyle w:val="TableContents"/>
              <w:bidi w:val="0"/>
              <w:spacing w:before="0" w:after="283"/>
              <w:jc w:val="center"/>
              <w:rPr>
                <w:b/>
              </w:rPr>
            </w:pPr>
            <w:r>
              <w:rPr>
                <w:b/>
              </w:rPr>
              <w:t>Period Ended</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8,714</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195,056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8,714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35"/>
        <w:gridCol w:w="1940"/>
      </w:tblGrid>
      <w:tr>
        <w:trPr/>
        <w:tc>
          <w:tcPr>
            <w:tcW w:w="335" w:type="dxa"/>
            <w:tcBorders/>
            <w:vAlign w:val="center"/>
          </w:tcPr>
          <w:p>
            <w:pPr>
              <w:pStyle w:val="TableContents"/>
              <w:bidi w:val="0"/>
              <w:spacing w:before="0" w:after="283"/>
              <w:jc w:val="left"/>
              <w:rPr>
                <w:b/>
              </w:rPr>
            </w:pPr>
            <w:r>
              <w:rPr>
                <w:b/>
              </w:rPr>
              <w:t>10.</w:t>
            </w:r>
          </w:p>
        </w:tc>
        <w:tc>
          <w:tcPr>
            <w:tcW w:w="1940" w:type="dxa"/>
            <w:tcBorders/>
            <w:vAlign w:val="center"/>
          </w:tcPr>
          <w:p>
            <w:pPr>
              <w:pStyle w:val="TableContents"/>
              <w:bidi w:val="0"/>
              <w:spacing w:before="0" w:after="283"/>
              <w:jc w:val="both"/>
              <w:rPr>
                <w:b/>
              </w:rPr>
            </w:pPr>
            <w:r>
              <w:rPr>
                <w:b/>
              </w:rPr>
              <w:t>INCOME TAXES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recognized for temporary differences between the basis of assets and liabilities for financial statement and income tax purposes. The differences relate solely to net operating loss carryforwards. As of December 31, 2022 and 2021, the Company had net deferred tax assets before valuation allowance of $8,978,639 and $2,982,757, respectively. The following table presents the deferred tax assets and liabilities by source:</w:t>
      </w:r>
    </w:p>
    <w:p>
      <w:pPr>
        <w:pStyle w:val="TextBody"/>
        <w:bidi w:val="0"/>
        <w:spacing w:before="0" w:after="0"/>
        <w:ind w:left="0" w:right="0" w:firstLine="360"/>
        <w:jc w:val="both"/>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3125"/>
        <w:gridCol w:w="60"/>
        <w:gridCol w:w="140"/>
        <w:gridCol w:w="1055"/>
        <w:gridCol w:w="95"/>
        <w:gridCol w:w="60"/>
        <w:gridCol w:w="140"/>
        <w:gridCol w:w="1055"/>
        <w:gridCol w:w="11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8,940,441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2,982,757</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Other temporary differences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85,998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(9,026,439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(2,982,757</w:t>
            </w:r>
          </w:p>
        </w:tc>
        <w:tc>
          <w:tcPr>
            <w:tcW w:w="110" w:type="dxa"/>
            <w:tcBorders/>
            <w:shd w:fill="CCEEFF" w:val="clear"/>
            <w:vAlign w:val="center"/>
          </w:tcPr>
          <w:p>
            <w:pPr>
              <w:pStyle w:val="TableContents"/>
              <w:bidi w:val="0"/>
              <w:spacing w:before="0" w:after="283"/>
              <w:jc w:val="left"/>
              <w:rPr/>
            </w:pPr>
            <w:r>
              <w:rPr/>
              <w:t>)</w:t>
            </w:r>
          </w:p>
        </w:tc>
      </w:tr>
      <w:tr>
        <w:trPr/>
        <w:tc>
          <w:tcPr>
            <w:tcW w:w="312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due to taxable losses for the periods ended 2022 and 2021, cumulative losses through December 31, 2022, and no history of generating taxable income. Therefore, valuation allowances of $9,026,439 and $2,982,757 were recorded as of December 31, 2022 and 2021, respectively. Valuation allowance increased by $6,043,682 and $2,982,757 during the periods ended December 31, 2022 and 2021, respectively. Deferred tax assets were calculated using the Company’s combined effective tax rate, which it estimated to be 28.0%. The effective rate is reduced to 0% due to the full valuation allowance on net deferred tax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utilize net operating loss carryforwards will depend on its ability to generate adequate future taxable income. At December 31, 2022 and 2021, the Company had net operating loss carryforwards available to offset future taxable income in the amount of $31,805,199 and $10,611,018,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its income tax positions and has determined that it does not have any uncertain tax positions. The Company will recognize interest and penalties related to any uncertain tax positions through its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the future become subject to federal, state and local income taxation though it has not been since its inception, other than minimum state tax. The Company is not presently subject to any income tax audit in any taxing jurisdiction, though its 2021-2022 tax years remain open to examination.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35"/>
        <w:gridCol w:w="4700"/>
      </w:tblGrid>
      <w:tr>
        <w:trPr/>
        <w:tc>
          <w:tcPr>
            <w:tcW w:w="335" w:type="dxa"/>
            <w:tcBorders/>
            <w:vAlign w:val="center"/>
          </w:tcPr>
          <w:p>
            <w:pPr>
              <w:pStyle w:val="TableContents"/>
              <w:bidi w:val="0"/>
              <w:spacing w:before="0" w:after="283"/>
              <w:jc w:val="left"/>
              <w:rPr>
                <w:b/>
              </w:rPr>
            </w:pPr>
            <w:r>
              <w:rPr>
                <w:b/>
              </w:rPr>
              <w:t>11.</w:t>
            </w:r>
          </w:p>
        </w:tc>
        <w:tc>
          <w:tcPr>
            <w:tcW w:w="4700"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 – Right of Use Asset and Liability</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practical expedient not to recognize leases with an initial term of 12 months or less on its balance sheet and lease expense is recognized on a straight-line basis over the term of the short-term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costs are as follows:</w:t>
      </w:r>
    </w:p>
    <w:p>
      <w:pPr>
        <w:pStyle w:val="TextBody"/>
        <w:bidi w:val="0"/>
        <w:spacing w:before="0" w:after="0"/>
        <w:ind w:left="0" w:right="0" w:firstLine="36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1580"/>
        <w:gridCol w:w="60"/>
        <w:gridCol w:w="2555"/>
        <w:gridCol w:w="60"/>
        <w:gridCol w:w="140"/>
        <w:gridCol w:w="800"/>
        <w:gridCol w:w="60"/>
        <w:gridCol w:w="60"/>
        <w:gridCol w:w="140"/>
        <w:gridCol w:w="800"/>
        <w:gridCol w:w="7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Period Ended</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b/>
              </w:rPr>
            </w:pPr>
            <w:r>
              <w:rPr>
                <w:b/>
              </w:rPr>
              <w:t>Financial Statement</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580" w:type="dxa"/>
            <w:tcBorders>
              <w:bottom w:val="single" w:sz="12" w:space="0" w:color="000000"/>
            </w:tcBorders>
            <w:tcMar>
              <w:bottom w:w="28" w:type="dxa"/>
            </w:tcMar>
            <w:vAlign w:val="center"/>
          </w:tcPr>
          <w:p>
            <w:pPr>
              <w:pStyle w:val="TableContents"/>
              <w:bidi w:val="0"/>
              <w:spacing w:before="0" w:after="283"/>
              <w:jc w:val="left"/>
              <w:rPr>
                <w:b/>
              </w:rPr>
            </w:pPr>
            <w:r>
              <w:rPr>
                <w:b/>
              </w:rPr>
              <w:t>Type</w:t>
            </w:r>
          </w:p>
        </w:tc>
        <w:tc>
          <w:tcPr>
            <w:tcW w:w="60" w:type="dxa"/>
            <w:tcBorders/>
            <w:vAlign w:val="center"/>
          </w:tcPr>
          <w:p>
            <w:pPr>
              <w:pStyle w:val="TableContents"/>
              <w:bidi w:val="0"/>
              <w:spacing w:before="0" w:after="283"/>
              <w:jc w:val="left"/>
              <w:rPr/>
            </w:pPr>
            <w:r>
              <w:rPr/>
              <w:t> </w:t>
            </w:r>
          </w:p>
        </w:tc>
        <w:tc>
          <w:tcPr>
            <w:tcW w:w="2555" w:type="dxa"/>
            <w:tcBorders>
              <w:bottom w:val="single" w:sz="12" w:space="0" w:color="000000"/>
            </w:tcBorders>
            <w:tcMar>
              <w:bottom w:w="28" w:type="dxa"/>
            </w:tcMar>
            <w:vAlign w:val="center"/>
          </w:tcPr>
          <w:p>
            <w:pPr>
              <w:pStyle w:val="TableContents"/>
              <w:bidi w:val="0"/>
              <w:spacing w:before="0" w:after="283"/>
              <w:jc w:val="center"/>
              <w:rPr>
                <w:b/>
              </w:rPr>
            </w:pPr>
            <w:r>
              <w:rPr>
                <w:b/>
              </w:rPr>
              <w:t>Line Item</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2555" w:type="dxa"/>
            <w:tcBorders/>
            <w:shd w:fill="CCEEFF" w:val="clear"/>
            <w:vAlign w:val="center"/>
          </w:tcPr>
          <w:p>
            <w:pPr>
              <w:pStyle w:val="TableContents"/>
              <w:bidi w:val="0"/>
              <w:spacing w:before="0" w:after="283"/>
              <w:jc w:val="center"/>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621,388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296,519</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Total lease costs</w:t>
            </w:r>
          </w:p>
        </w:tc>
        <w:tc>
          <w:tcPr>
            <w:tcW w:w="60" w:type="dxa"/>
            <w:tcBorders/>
            <w:shd w:fill="FFFFFF" w:val="clear"/>
            <w:vAlign w:val="center"/>
          </w:tcPr>
          <w:p>
            <w:pPr>
              <w:pStyle w:val="TableContents"/>
              <w:bidi w:val="0"/>
              <w:spacing w:before="0" w:after="283"/>
              <w:jc w:val="left"/>
              <w:rPr/>
            </w:pPr>
            <w:r>
              <w:rPr/>
              <w:t> </w:t>
            </w:r>
          </w:p>
        </w:tc>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621,388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296,519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firstLine="360"/>
        <w:jc w:val="left"/>
        <w:rPr>
          <w:caps w:val="false"/>
          <w:smallCaps w:val="false"/>
        </w:rPr>
      </w:pPr>
      <w:r>
        <w:rPr>
          <w:caps w:val="false"/>
          <w:smallCaps w:val="false"/>
        </w:rPr>
        <w:t> </w:t>
      </w:r>
    </w:p>
    <w:tbl>
      <w:tblPr>
        <w:tblW w:w="8660" w:type="dxa"/>
        <w:jc w:val="left"/>
        <w:tblInd w:w="0" w:type="dxa"/>
        <w:tblLayout w:type="fixed"/>
        <w:tblCellMar>
          <w:top w:w="0" w:type="dxa"/>
          <w:left w:w="0" w:type="dxa"/>
          <w:bottom w:w="0" w:type="dxa"/>
          <w:right w:w="0" w:type="dxa"/>
        </w:tblCellMar>
      </w:tblPr>
      <w:tblGrid>
        <w:gridCol w:w="6785"/>
        <w:gridCol w:w="60"/>
        <w:gridCol w:w="140"/>
        <w:gridCol w:w="980"/>
        <w:gridCol w:w="60"/>
        <w:gridCol w:w="60"/>
        <w:gridCol w:w="297"/>
        <w:gridCol w:w="203"/>
        <w:gridCol w:w="75"/>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vAlign w:val="center"/>
          </w:tcPr>
          <w:p>
            <w:pPr>
              <w:pStyle w:val="TableContents"/>
              <w:bidi w:val="0"/>
              <w:spacing w:before="0" w:after="283"/>
              <w:jc w:val="center"/>
              <w:rPr>
                <w:b/>
              </w:rPr>
            </w:pPr>
            <w:r>
              <w:rPr>
                <w:b/>
              </w:rPr>
              <w:t>Period Ended</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283"/>
              <w:jc w:val="left"/>
              <w:rPr/>
            </w:pPr>
            <w:r>
              <w:rPr/>
              <w:t>Operating cash flows paid for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283"/>
              <w:jc w:val="left"/>
              <w:rPr/>
            </w:pPr>
            <w:r>
              <w:rPr/>
              <w:t>Right-of-use assets obtained in exchange for operating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1,535,230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w:t>
            </w:r>
          </w:p>
        </w:tc>
        <w:tc>
          <w:tcPr>
            <w:tcW w:w="20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leases are as follows:</w:t>
      </w:r>
    </w:p>
    <w:p>
      <w:pPr>
        <w:pStyle w:val="TextBody"/>
        <w:bidi w:val="0"/>
        <w:spacing w:before="0" w:after="0"/>
        <w:ind w:left="0" w:right="0" w:firstLine="360"/>
        <w:jc w:val="left"/>
        <w:rPr>
          <w:caps w:val="false"/>
          <w:smallCaps w:val="false"/>
        </w:rPr>
      </w:pPr>
      <w:r>
        <w:rPr>
          <w:caps w:val="false"/>
          <w:smallCaps w:val="false"/>
        </w:rPr>
        <w:t> </w:t>
      </w:r>
    </w:p>
    <w:tbl>
      <w:tblPr>
        <w:tblW w:w="6261" w:type="dxa"/>
        <w:jc w:val="left"/>
        <w:tblInd w:w="0" w:type="dxa"/>
        <w:tblLayout w:type="fixed"/>
        <w:tblCellMar>
          <w:top w:w="0" w:type="dxa"/>
          <w:left w:w="0" w:type="dxa"/>
          <w:bottom w:w="0" w:type="dxa"/>
          <w:right w:w="0" w:type="dxa"/>
        </w:tblCellMar>
      </w:tblPr>
      <w:tblGrid>
        <w:gridCol w:w="4715"/>
        <w:gridCol w:w="60"/>
        <w:gridCol w:w="69"/>
        <w:gridCol w:w="512"/>
        <w:gridCol w:w="250"/>
        <w:gridCol w:w="69"/>
        <w:gridCol w:w="69"/>
        <w:gridCol w:w="442"/>
        <w:gridCol w:w="75"/>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5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2.30</w:t>
            </w:r>
          </w:p>
        </w:tc>
        <w:tc>
          <w:tcPr>
            <w:tcW w:w="25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right"/>
              <w:rPr/>
            </w:pPr>
            <w:r>
              <w:rPr/>
              <w:t> </w:t>
            </w:r>
            <w:r>
              <w:rPr>
                <w:sz w:val="20"/>
              </w:rPr>
              <w:t xml:space="preserve">n/a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7.25</w:t>
            </w:r>
          </w:p>
        </w:tc>
        <w:tc>
          <w:tcPr>
            <w:tcW w:w="25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pPr>
            <w:r>
              <w:rPr/>
              <w:t> </w:t>
            </w:r>
            <w:r>
              <w:rPr>
                <w:sz w:val="20"/>
              </w:rPr>
              <w:t xml:space="preserve">n/a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lease liabilities, as of December 31, 2022, are as follows:</w:t>
      </w:r>
    </w:p>
    <w:p>
      <w:pPr>
        <w:pStyle w:val="TextBody"/>
        <w:bidi w:val="0"/>
        <w:spacing w:before="0" w:after="0"/>
        <w:ind w:left="0" w:right="0" w:firstLine="360"/>
        <w:jc w:val="left"/>
        <w:rPr>
          <w:caps w:val="false"/>
          <w:smallCaps w:val="false"/>
        </w:rPr>
      </w:pPr>
      <w:r>
        <w:rPr>
          <w:caps w:val="false"/>
          <w:smallCaps w:val="false"/>
        </w:rPr>
        <w:t> </w:t>
      </w:r>
    </w:p>
    <w:tbl>
      <w:tblPr>
        <w:tblW w:w="4100" w:type="dxa"/>
        <w:jc w:val="left"/>
        <w:tblInd w:w="0" w:type="dxa"/>
        <w:tblLayout w:type="fixed"/>
        <w:tblCellMar>
          <w:top w:w="0" w:type="dxa"/>
          <w:left w:w="0" w:type="dxa"/>
          <w:bottom w:w="28" w:type="dxa"/>
          <w:right w:w="0" w:type="dxa"/>
        </w:tblCellMar>
      </w:tblPr>
      <w:tblGrid>
        <w:gridCol w:w="2810"/>
        <w:gridCol w:w="60"/>
        <w:gridCol w:w="140"/>
        <w:gridCol w:w="980"/>
        <w:gridCol w:w="110"/>
      </w:tblGrid>
      <w:tr>
        <w:trPr/>
        <w:tc>
          <w:tcPr>
            <w:tcW w:w="2810" w:type="dxa"/>
            <w:tcBorders>
              <w:bottom w:val="single" w:sz="12"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Operating</w:t>
              <w:br/>
              <w:t>Leases</w:t>
            </w:r>
          </w:p>
        </w:tc>
        <w:tc>
          <w:tcPr>
            <w:tcW w:w="11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483,186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527,983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214,776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1,225,945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(34,616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810" w:type="dxa"/>
            <w:tcBorders/>
            <w:shd w:fill="FFFFFF" w:val="clear"/>
            <w:tcMar>
              <w:bottom w:w="0" w:type="dxa"/>
            </w:tcMar>
            <w:vAlign w:val="center"/>
          </w:tcPr>
          <w:p>
            <w:pPr>
              <w:pStyle w:val="TableContents"/>
              <w:bidi w:val="0"/>
              <w:spacing w:before="0" w:after="283"/>
              <w:jc w:val="left"/>
              <w:rPr/>
            </w:pPr>
            <w:r>
              <w:rPr/>
              <w:t>Total lease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1,191,329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Lease – Failed Sales-Leaseback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entered into a lease agreement with Farnam Capital for its next-generation of robot assets. As per ASC 842-40-25-1, the transaction was considered a failed sales and leaseback and therefore, the lease was accounted for as a financing agreement. In total, the Company received proceeds of $4,455,852 related to robot assets constructed that are held as collateral. The agreement calls for payments through October 31, 2024 of $189,262 and required a security deposit of $378,524. Through December 31, 2022, the Company has made principal repayments totaling $378,524. Furthermore, the Company paid $544,422 in interim payments during the asset construction process which was recorded as interest expense. The outstanding lease liability at December 31, 2022 was $4,077,328. The Company has the option to purchase the assets at the end of the lease for 40% of the original equipment cost.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principal payments as of December 31, 2022 were as follows:</w:t>
      </w:r>
    </w:p>
    <w:p>
      <w:pPr>
        <w:pStyle w:val="TextBody"/>
        <w:bidi w:val="0"/>
        <w:spacing w:before="0" w:after="0"/>
        <w:ind w:left="0" w:right="0" w:hanging="0"/>
        <w:jc w:val="both"/>
        <w:rPr>
          <w:caps w:val="false"/>
          <w:smallCaps w:val="false"/>
        </w:rPr>
      </w:pPr>
      <w:r>
        <w:rPr>
          <w:caps w:val="false"/>
          <w:smallCaps w:val="false"/>
        </w:rPr>
        <w:t> </w:t>
      </w:r>
    </w:p>
    <w:tbl>
      <w:tblPr>
        <w:tblW w:w="4065" w:type="dxa"/>
        <w:jc w:val="left"/>
        <w:tblInd w:w="0" w:type="dxa"/>
        <w:tblLayout w:type="fixed"/>
        <w:tblCellMar>
          <w:top w:w="0" w:type="dxa"/>
          <w:left w:w="0" w:type="dxa"/>
          <w:bottom w:w="28" w:type="dxa"/>
          <w:right w:w="0" w:type="dxa"/>
        </w:tblCellMar>
      </w:tblPr>
      <w:tblGrid>
        <w:gridCol w:w="2810"/>
        <w:gridCol w:w="60"/>
        <w:gridCol w:w="140"/>
        <w:gridCol w:w="980"/>
        <w:gridCol w:w="75"/>
      </w:tblGrid>
      <w:tr>
        <w:trPr/>
        <w:tc>
          <w:tcPr>
            <w:tcW w:w="2810" w:type="dxa"/>
            <w:tcBorders>
              <w:bottom w:val="single" w:sz="12"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Lease</w:t>
              <w:br/>
              <w:t>Liability</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2,214,348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1,862,980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4,077,328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the company entered into a strategic supply agreement with a manufacturer of component parts used for the Company’s robot assets. The agreement calls for a minimum of $2.3 million in purchases over a two-year period ending December 2023. At the end of the two-year period, the vendor may invoice the Company for any shortfall in orders.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minimum spend agreements related to simulation software and storage services. The purchase commitments extend for a period of two to three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subject to pending legal proceedings and regulatory actions in the ordinary course of business. The results of such proceedings cannot be predicted with certainty, but the Company does not anticipate that the final outcome, if any, arising out of any such matters will have a material adverse effect on its business,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335"/>
        <w:gridCol w:w="2735"/>
      </w:tblGrid>
      <w:tr>
        <w:trPr/>
        <w:tc>
          <w:tcPr>
            <w:tcW w:w="335" w:type="dxa"/>
            <w:tcBorders/>
            <w:vAlign w:val="center"/>
          </w:tcPr>
          <w:p>
            <w:pPr>
              <w:pStyle w:val="TableContents"/>
              <w:bidi w:val="0"/>
              <w:spacing w:before="0" w:after="283"/>
              <w:jc w:val="left"/>
              <w:rPr>
                <w:b/>
              </w:rPr>
            </w:pPr>
            <w:r>
              <w:rPr>
                <w:b/>
              </w:rPr>
              <w:t>12.</w:t>
            </w:r>
          </w:p>
        </w:tc>
        <w:tc>
          <w:tcPr>
            <w:tcW w:w="2735" w:type="dxa"/>
            <w:tcBorders/>
            <w:vAlign w:val="center"/>
          </w:tcPr>
          <w:p>
            <w:pPr>
              <w:pStyle w:val="TableContents"/>
              <w:bidi w:val="0"/>
              <w:spacing w:before="0" w:after="283"/>
              <w:jc w:val="both"/>
              <w:rPr>
                <w:b/>
              </w:rPr>
            </w:pPr>
            <w:r>
              <w:rPr>
                <w:b/>
              </w:rPr>
              <w:t>SUBSEQUENT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May 19, 2023, the date the financial statements were available to be issued. Based on this evaluation, no additional material events were identified which require adjustment or disclosure in these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received bridge financing totaling $3,000,000 in principal, due in six months from the note date. The bridge financing bear interest at 10% per annum and are payable six months from the date of the bridge financing, subject to conversion. Upon the Company’s planned reverse merger (“PIPE Offering”), the note will convert into shares of common stock at a conversion price equal to 80% of the price per the PIPE offering. Th note is secured by the assets of the Company, and subordinated to the Company’s Silicon Valley Bank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bridge financing, the Company granted the lender warrants to purchase common stock equal to 50% of the number of shares of common stock into which the loan is convertible into.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issuance date, the Company has received proceeds from SAFEs totaling $2,666,953 with similar terms to the SAFEs in Note 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F-23</w:t>
      </w:r>
    </w:p>
    <w:p>
      <w:pPr>
        <w:pStyle w:val="TextBody"/>
        <w:bidi w:val="0"/>
        <w:spacing w:before="0" w:after="0"/>
        <w:ind w:left="0" w:right="0" w:hanging="0"/>
        <w:jc w:val="left"/>
        <w:rPr/>
      </w:pPr>
      <w:r>
        <w:rPr/>
        <w:t> </w:t>
      </w:r>
    </w:p>
    <w:p>
      <w:pPr>
        <w:pStyle w:val="TextBody"/>
        <w:bidi w:val="0"/>
        <w:ind w:left="0" w:right="0" w:hanging="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righ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680"/>
        <w:gridCol w:w="60"/>
        <w:gridCol w:w="455"/>
      </w:tblGrid>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680" w:type="dxa"/>
            <w:tcBorders/>
            <w:shd w:fill="CCEEFF" w:val="clear"/>
            <w:vAlign w:val="center"/>
          </w:tcPr>
          <w:p>
            <w:pPr>
              <w:pStyle w:val="TableContents"/>
              <w:bidi w:val="0"/>
              <w:spacing w:before="0" w:after="283"/>
              <w:jc w:val="left"/>
              <w:rPr/>
            </w:pPr>
            <w:hyperlink w:anchor="b_001">
              <w:r>
                <w:rPr>
                  <w:rStyle w:val="InternetLink"/>
                  <w:sz w:val="20"/>
                </w:rPr>
                <w:t>Condensed Consolidated Balance Sheets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F-25</w:t>
            </w:r>
          </w:p>
        </w:tc>
      </w:tr>
      <w:tr>
        <w:trPr/>
        <w:tc>
          <w:tcPr>
            <w:tcW w:w="6680" w:type="dxa"/>
            <w:tcBorders/>
            <w:vAlign w:val="center"/>
          </w:tcPr>
          <w:p>
            <w:pPr>
              <w:pStyle w:val="TableContents"/>
              <w:bidi w:val="0"/>
              <w:spacing w:before="0" w:after="283"/>
              <w:jc w:val="left"/>
              <w:rPr/>
            </w:pPr>
            <w:hyperlink w:anchor="b_002">
              <w:r>
                <w:rPr>
                  <w:rStyle w:val="InternetLink"/>
                  <w:sz w:val="20"/>
                </w:rPr>
                <w:t>Condensed Consolidated Statements of Operations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F-26</w:t>
            </w:r>
          </w:p>
        </w:tc>
      </w:tr>
      <w:tr>
        <w:trPr/>
        <w:tc>
          <w:tcPr>
            <w:tcW w:w="6680" w:type="dxa"/>
            <w:tcBorders/>
            <w:shd w:fill="CCEEFF" w:val="clear"/>
            <w:vAlign w:val="center"/>
          </w:tcPr>
          <w:p>
            <w:pPr>
              <w:pStyle w:val="TableContents"/>
              <w:bidi w:val="0"/>
              <w:spacing w:before="0" w:after="283"/>
              <w:jc w:val="left"/>
              <w:rPr/>
            </w:pPr>
            <w:hyperlink w:anchor="b_003">
              <w:r>
                <w:rPr>
                  <w:rStyle w:val="InternetLink"/>
                  <w:sz w:val="20"/>
                </w:rPr>
                <w:t>Condensed Consolidated Statements of Changes in Stockholders’ Equity (Deficit)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F-27</w:t>
            </w:r>
          </w:p>
        </w:tc>
      </w:tr>
      <w:tr>
        <w:trPr/>
        <w:tc>
          <w:tcPr>
            <w:tcW w:w="6680" w:type="dxa"/>
            <w:tcBorders/>
            <w:vAlign w:val="center"/>
          </w:tcPr>
          <w:p>
            <w:pPr>
              <w:pStyle w:val="TableContents"/>
              <w:bidi w:val="0"/>
              <w:spacing w:before="0" w:after="283"/>
              <w:jc w:val="left"/>
              <w:rPr/>
            </w:pPr>
            <w:hyperlink w:anchor="b_004">
              <w:r>
                <w:rPr>
                  <w:rStyle w:val="InternetLink"/>
                  <w:sz w:val="20"/>
                </w:rPr>
                <w:t>Condensed Consolidated Statements of Cash Flows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sz w:val="20"/>
              </w:rPr>
            </w:pPr>
            <w:r>
              <w:rPr>
                <w:sz w:val="20"/>
              </w:rPr>
              <w:t>F-28</w:t>
            </w:r>
          </w:p>
        </w:tc>
      </w:tr>
      <w:tr>
        <w:trPr/>
        <w:tc>
          <w:tcPr>
            <w:tcW w:w="6680" w:type="dxa"/>
            <w:tcBorders/>
            <w:shd w:fill="CCEEFF" w:val="clear"/>
            <w:vAlign w:val="center"/>
          </w:tcPr>
          <w:p>
            <w:pPr>
              <w:pStyle w:val="TableContents"/>
              <w:bidi w:val="0"/>
              <w:spacing w:before="0" w:after="283"/>
              <w:jc w:val="left"/>
              <w:rPr/>
            </w:pPr>
            <w:hyperlink w:anchor="b_005">
              <w:r>
                <w:rPr>
                  <w:rStyle w:val="InternetLink"/>
                  <w:sz w:val="20"/>
                </w:rPr>
                <w:t>Notes to Unaudited Interim Condensed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F-29</w:t>
            </w:r>
          </w:p>
        </w:tc>
      </w:tr>
    </w:tbl>
    <w:p>
      <w:pPr>
        <w:pStyle w:val="TextBody"/>
        <w:bidi w:val="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F-24</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 w:name="b_001"/>
      <w:bookmarkEnd w:id="34"/>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2023 and December 31,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4"/>
        <w:gridCol w:w="60"/>
        <w:gridCol w:w="151"/>
        <w:gridCol w:w="1278"/>
        <w:gridCol w:w="95"/>
        <w:gridCol w:w="60"/>
        <w:gridCol w:w="145"/>
        <w:gridCol w:w="1224"/>
        <w:gridCol w:w="88"/>
      </w:tblGrid>
      <w:tr>
        <w:trPr/>
        <w:tc>
          <w:tcPr>
            <w:tcW w:w="7104"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429"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9" w:type="dxa"/>
            <w:gridSpan w:val="2"/>
            <w:tcBorders/>
            <w:vAlign w:val="center"/>
          </w:tcPr>
          <w:p>
            <w:pPr>
              <w:pStyle w:val="TableContents"/>
              <w:bidi w:val="0"/>
              <w:spacing w:before="0" w:after="283"/>
              <w:jc w:val="center"/>
              <w:rPr>
                <w:b/>
              </w:rPr>
            </w:pPr>
            <w:r>
              <w:rPr>
                <w:b/>
              </w:rPr>
              <w:t>December 31,</w:t>
            </w:r>
          </w:p>
        </w:tc>
        <w:tc>
          <w:tcPr>
            <w:tcW w:w="88" w:type="dxa"/>
            <w:tcBorders/>
            <w:vAlign w:val="center"/>
          </w:tcPr>
          <w:p>
            <w:pPr>
              <w:pStyle w:val="TableContents"/>
              <w:bidi w:val="0"/>
              <w:spacing w:before="0" w:after="283"/>
              <w:ind w:left="0" w:right="0" w:hanging="180"/>
              <w:jc w:val="center"/>
              <w:rPr/>
            </w:pPr>
            <w:r>
              <w:rPr/>
              <w:t> </w:t>
            </w:r>
          </w:p>
        </w:tc>
      </w:tr>
      <w:tr>
        <w:trPr/>
        <w:tc>
          <w:tcPr>
            <w:tcW w:w="71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88" w:type="dxa"/>
            <w:tcBorders/>
            <w:vAlign w:val="center"/>
          </w:tcPr>
          <w:p>
            <w:pPr>
              <w:pStyle w:val="TableContents"/>
              <w:bidi w:val="0"/>
              <w:spacing w:before="0" w:after="283"/>
              <w:ind w:left="0" w:right="0" w:hanging="180"/>
              <w:jc w:val="center"/>
              <w:rPr/>
            </w:pPr>
            <w:r>
              <w:rPr/>
              <w:t> </w:t>
            </w:r>
          </w:p>
        </w:tc>
      </w:tr>
      <w:tr>
        <w:trPr/>
        <w:tc>
          <w:tcPr>
            <w:tcW w:w="7104"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180"/>
              <w:jc w:val="left"/>
              <w:rPr/>
            </w:pPr>
            <w:r>
              <w:rPr/>
              <w:t> </w:t>
            </w:r>
          </w:p>
        </w:tc>
      </w:tr>
      <w:tr>
        <w:trPr/>
        <w:tc>
          <w:tcPr>
            <w:tcW w:w="7104"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3,502,140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2,715,719</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3,955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23,697</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868,721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618,262</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750,072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81,339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5,124,888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3,439,017</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1,982,001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3,376,427</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894,127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1,215,968</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512,659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512,659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pPr>
            <w:r>
              <w:rPr/>
              <w:t>8,513,675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8,544,071</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944,487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162,034</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159,648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37,434</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Note payable, 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1,000,000</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Note payable - related party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151,500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Right of use liability, current portion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518,877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483,186</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2,081,882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2,214,348</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4,856,394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3,897,002</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Note payable, net of current portion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476,850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1,214,600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Simple agreements for future equity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13,150,745</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Restricted stock award liability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159,716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162,747</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Right of use liability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314,829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708,143</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337,087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1,862,980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6,144,876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20,996,217</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Stockholders' equity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Series Seed preferred stock, $0.0001 par value; 0 and 4,008,079 shares authorized, 0 and 3,091,672 shares issued and outstanding as of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309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Series Seed-1 preferred stock, $0.0001 par value; 0 and 3,037,227 shares authorized, 0 and 2,440,411 shares issued and outstanding as of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244</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Series Seed-2 preferred stock, $0.0001 par value; 0 and 2,599,497 shares authorized, 0 and 2,088,696 shares issued and outstanding as of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209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Series Seed-3 preferred stock, $0.0001 par value; 0 and 445,347 shares authorized, 0 and 357,836 shares issued and outstanding as of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36</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Preferred stock, $0.0001 par value, 10,000,000 shares authorized, no shares issued or outstanding as of September 30, 2023 and December 31, 2022</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Common stock, $0.0001 par value; 300,000,000 shares authorized, 24,689,283 and 7,161,654 shares issued  and 24,362,444 and 6,826,352 shares outstanding as of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2,436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683</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0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63,805,874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31,232,737</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04"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(168,516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(165,719</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7104"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(61,270,995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(43,520,645</w:t>
            </w:r>
          </w:p>
        </w:tc>
        <w:tc>
          <w:tcPr>
            <w:tcW w:w="88" w:type="dxa"/>
            <w:tcBorders/>
            <w:shd w:fill="FFFFFF" w:val="clear"/>
            <w:vAlign w:val="center"/>
          </w:tcPr>
          <w:p>
            <w:pPr>
              <w:pStyle w:val="TableContents"/>
              <w:bidi w:val="0"/>
              <w:spacing w:before="0" w:after="283"/>
              <w:ind w:left="0" w:right="0" w:hanging="180"/>
              <w:jc w:val="left"/>
              <w:rPr/>
            </w:pPr>
            <w:r>
              <w:rPr/>
              <w:t>)</w:t>
            </w:r>
          </w:p>
        </w:tc>
      </w:tr>
      <w:tr>
        <w:trPr/>
        <w:tc>
          <w:tcPr>
            <w:tcW w:w="7104"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2,368,799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(12,452,146</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7104" w:type="dxa"/>
            <w:tcBorders/>
            <w:shd w:fill="FFFFFF" w:val="clear"/>
            <w:vAlign w:val="center"/>
          </w:tcPr>
          <w:p>
            <w:pPr>
              <w:pStyle w:val="TableContents"/>
              <w:bidi w:val="0"/>
              <w:spacing w:before="0" w:after="283"/>
              <w:jc w:val="left"/>
              <w:rPr/>
            </w:pPr>
            <w:r>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8" w:type="dxa"/>
            <w:tcBorders>
              <w:bottom w:val="double" w:sz="10" w:space="0" w:color="000000"/>
            </w:tcBorders>
            <w:shd w:fill="FFFFFF" w:val="clear"/>
            <w:tcMar>
              <w:bottom w:w="28" w:type="dxa"/>
            </w:tcMar>
            <w:vAlign w:val="center"/>
          </w:tcPr>
          <w:p>
            <w:pPr>
              <w:pStyle w:val="TableContents"/>
              <w:bidi w:val="0"/>
              <w:spacing w:before="0" w:after="283"/>
              <w:jc w:val="right"/>
              <w:rPr/>
            </w:pPr>
            <w:r>
              <w:rPr/>
              <w:t>8,513,675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8,544,071</w:t>
            </w:r>
          </w:p>
        </w:tc>
        <w:tc>
          <w:tcPr>
            <w:tcW w:w="88"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F-25</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5" w:name="b_002"/>
      <w:bookmarkEnd w:id="35"/>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September 30, 2023 and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05"/>
        <w:gridCol w:w="60"/>
        <w:gridCol w:w="140"/>
        <w:gridCol w:w="1100"/>
        <w:gridCol w:w="95"/>
        <w:gridCol w:w="60"/>
        <w:gridCol w:w="140"/>
        <w:gridCol w:w="1055"/>
        <w:gridCol w:w="95"/>
        <w:gridCol w:w="60"/>
        <w:gridCol w:w="140"/>
        <w:gridCol w:w="1175"/>
        <w:gridCol w:w="95"/>
        <w:gridCol w:w="60"/>
        <w:gridCol w:w="140"/>
        <w:gridCol w:w="1175"/>
        <w:gridCol w:w="11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Nine Months Ended</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164,826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60,689</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572,537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341,517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1,331,165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721,198</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(509,972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(308,184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(1,166,339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(660,509</w:t>
            </w:r>
          </w:p>
        </w:tc>
        <w:tc>
          <w:tcPr>
            <w:tcW w:w="11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1,428,143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952,553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3,414,949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2,666,005</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681,434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1,555,841</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2,962,812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3,261,785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7,171,446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9,275,252</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118,793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120,537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481,511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398,635</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5,067,816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5,016,309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12,740,309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13,895,733</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(5,577,788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(5,324,493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(13,906,648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(14,556,242</w:t>
            </w:r>
          </w:p>
        </w:tc>
        <w:tc>
          <w:tcPr>
            <w:tcW w:w="110" w:type="dxa"/>
            <w:tcBorders/>
            <w:shd w:fill="FFFFFF" w:val="clear"/>
            <w:vAlign w:val="center"/>
          </w:tcPr>
          <w:p>
            <w:pPr>
              <w:pStyle w:val="TableContents"/>
              <w:bidi w:val="0"/>
              <w:spacing w:before="0" w:after="283"/>
              <w:jc w:val="left"/>
              <w:rPr/>
            </w:pPr>
            <w:r>
              <w:rPr/>
              <w:t>)</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(1,483,390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(34,112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(2,021,996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(49,028</w:t>
            </w:r>
          </w:p>
        </w:tc>
        <w:tc>
          <w:tcPr>
            <w:tcW w:w="11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Change in fair value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(435,794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4,506</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(2,068,184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(34,112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(3,843,702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(44,522</w:t>
            </w:r>
          </w:p>
        </w:tc>
        <w:tc>
          <w:tcPr>
            <w:tcW w:w="110" w:type="dxa"/>
            <w:tcBorders/>
            <w:shd w:fill="FFFFFF" w:val="clear"/>
            <w:vAlign w:val="center"/>
          </w:tcPr>
          <w:p>
            <w:pPr>
              <w:pStyle w:val="TableContents"/>
              <w:bidi w:val="0"/>
              <w:spacing w:before="0" w:after="283"/>
              <w:jc w:val="left"/>
              <w:rPr/>
            </w:pPr>
            <w:r>
              <w:rPr/>
              <w:t>)</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(7,645,972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(5,358,605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(17,750,350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(14,600,764</w:t>
            </w:r>
          </w:p>
        </w:tc>
        <w:tc>
          <w:tcPr>
            <w:tcW w:w="110" w:type="dxa"/>
            <w:tcBorders/>
            <w:shd w:fill="FFFFFF" w:val="clear"/>
            <w:vAlign w:val="center"/>
          </w:tcPr>
          <w:p>
            <w:pPr>
              <w:pStyle w:val="TableContents"/>
              <w:bidi w:val="0"/>
              <w:spacing w:before="0" w:after="283"/>
              <w:jc w:val="left"/>
              <w:rPr/>
            </w:pPr>
            <w:r>
              <w:rPr/>
              <w:t>)</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Weighted average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18,528,262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6,871,200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10,674,991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6,990,773</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Net loss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(0.41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(0.78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(2.09</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F-26</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b_003"/>
      <w:bookmarkEnd w:id="36"/>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Stockholders’ Equity (Deficit)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September 30, 2023 and 2022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15420" w:type="dxa"/>
        <w:jc w:val="left"/>
        <w:tblInd w:w="0" w:type="dxa"/>
        <w:tblLayout w:type="fixed"/>
        <w:tblCellMar>
          <w:top w:w="0" w:type="dxa"/>
          <w:left w:w="0" w:type="dxa"/>
          <w:bottom w:w="0" w:type="dxa"/>
          <w:right w:w="0" w:type="dxa"/>
        </w:tblCellMar>
      </w:tblPr>
      <w:tblGrid>
        <w:gridCol w:w="2300"/>
        <w:gridCol w:w="60"/>
        <w:gridCol w:w="60"/>
        <w:gridCol w:w="800"/>
        <w:gridCol w:w="80"/>
        <w:gridCol w:w="60"/>
        <w:gridCol w:w="144"/>
        <w:gridCol w:w="461"/>
        <w:gridCol w:w="80"/>
        <w:gridCol w:w="60"/>
        <w:gridCol w:w="60"/>
        <w:gridCol w:w="800"/>
        <w:gridCol w:w="80"/>
        <w:gridCol w:w="60"/>
        <w:gridCol w:w="144"/>
        <w:gridCol w:w="461"/>
        <w:gridCol w:w="80"/>
        <w:gridCol w:w="60"/>
        <w:gridCol w:w="60"/>
        <w:gridCol w:w="800"/>
        <w:gridCol w:w="80"/>
        <w:gridCol w:w="60"/>
        <w:gridCol w:w="144"/>
        <w:gridCol w:w="461"/>
        <w:gridCol w:w="80"/>
        <w:gridCol w:w="60"/>
        <w:gridCol w:w="60"/>
        <w:gridCol w:w="665"/>
        <w:gridCol w:w="80"/>
        <w:gridCol w:w="60"/>
        <w:gridCol w:w="179"/>
        <w:gridCol w:w="426"/>
        <w:gridCol w:w="80"/>
        <w:gridCol w:w="60"/>
        <w:gridCol w:w="60"/>
        <w:gridCol w:w="830"/>
        <w:gridCol w:w="80"/>
        <w:gridCol w:w="60"/>
        <w:gridCol w:w="124"/>
        <w:gridCol w:w="481"/>
        <w:gridCol w:w="80"/>
        <w:gridCol w:w="60"/>
        <w:gridCol w:w="110"/>
        <w:gridCol w:w="830"/>
        <w:gridCol w:w="80"/>
        <w:gridCol w:w="60"/>
        <w:gridCol w:w="130"/>
        <w:gridCol w:w="790"/>
        <w:gridCol w:w="80"/>
        <w:gridCol w:w="60"/>
        <w:gridCol w:w="110"/>
        <w:gridCol w:w="890"/>
        <w:gridCol w:w="80"/>
        <w:gridCol w:w="60"/>
        <w:gridCol w:w="119"/>
        <w:gridCol w:w="966"/>
        <w:gridCol w:w="75"/>
      </w:tblGrid>
      <w:tr>
        <w:trPr/>
        <w:tc>
          <w:tcPr>
            <w:tcW w:w="230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1605" w:type="dxa"/>
            <w:gridSpan w:val="6"/>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Series Seed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5" w:type="dxa"/>
            <w:gridSpan w:val="6"/>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Series Seed-1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5" w:type="dxa"/>
            <w:gridSpan w:val="6"/>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Series Seed-2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0" w:type="dxa"/>
            <w:gridSpan w:val="6"/>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Series Seed-3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Subscription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Stockholders’</w:t>
            </w:r>
          </w:p>
        </w:tc>
        <w:tc>
          <w:tcPr>
            <w:tcW w:w="75" w:type="dxa"/>
            <w:tcBorders/>
            <w:vAlign w:val="center"/>
          </w:tcPr>
          <w:p>
            <w:pPr>
              <w:pStyle w:val="TableContents"/>
              <w:bidi w:val="0"/>
              <w:spacing w:before="0" w:after="283"/>
              <w:ind w:left="0" w:right="0" w:hanging="180"/>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Receivable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 (Deficit)</w:t>
            </w:r>
          </w:p>
        </w:tc>
        <w:tc>
          <w:tcPr>
            <w:tcW w:w="75" w:type="dxa"/>
            <w:tcBorders/>
            <w:vAlign w:val="center"/>
          </w:tcPr>
          <w:p>
            <w:pPr>
              <w:pStyle w:val="TableContents"/>
              <w:bidi w:val="0"/>
              <w:spacing w:before="0" w:after="283"/>
              <w:ind w:left="0" w:right="0" w:hanging="180"/>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Balances at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2,834,033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2,440,411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2,088,696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7,111,123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29,984,430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(21,665,518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8,320,395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Series Seed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257,639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999,973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999,999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Restricted stock awards repurchased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(217,588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Warrants issued in connection with note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9,026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(3,942,145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(3,942,145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Balances at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3,091,672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2,440,411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2,088,696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6,893,535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31,042,452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(25,607,663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5,436,275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Restricted stock awards repurchased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(21,558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11,057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11,057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(5,300,015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(5,300,015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Balances at June 30,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3,091,672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2,440,411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2,088,696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6,871,977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31,053,511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(30,907,678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147,317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Restricted stock awards repurchased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Vested restricted stock purchased with recourse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93,724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93,724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(5,358,605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(5,358,605</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Balances at September 30,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3,091,672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2,440,411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2,088,696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6,870,423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31,148,051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(36,266,283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(5,116,747</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Balances at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3,091,672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2,440,411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2,088,696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6,826,352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31,232,737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(165,719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(43,520,645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(12,452,146</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Vested restricted stock purchased with recourse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2,234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Restricted stock awards repurchased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(238,625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93,943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(5,138,122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(5,138,122</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Balances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3,091,672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2,440,411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2,088,696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6,590,547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31,330,136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(166,921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(48,658,767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(17,494,095</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Vested restricted stock purchased with recourse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(1,302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Restricted stock awards repurchased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(62,975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106,929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(4,966,256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(4,966,256</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Balances at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3,091,672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2,440,411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2,088,696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6,530,392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31,440,504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(53,625,023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(22,351,291</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pursuant to Merger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3,040,140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12,160,256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12,160,560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convertible note and derivative into common stock in connection with Merger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937,961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3,751,781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3,751,875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SAFEs into common stock in connection with Merger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4,372,601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17,489,967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17,490,404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preferred stock into common stock in connection with Merger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(3,091,672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(2,440,411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(2,088,696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(357,836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7,978,616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Predecessor shares converted into common stock upon the Merger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Vested restricted stock purchased with recourse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3,140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Warrants issued with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991,000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103,385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(2,134,302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(2,134,302</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(7,645,972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(7,645,972</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Balances at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24,362,444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63,805,874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(168,516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(61,270,995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2,368,799</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F-27</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7" w:name="b_004"/>
      <w:bookmarkEnd w:id="37"/>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 September 30, 2023 and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Nine Months Ended</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(17,750,350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(14,600,764</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1,396,919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40,521</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304,256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113,806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Change in fair value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(4,506</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816,715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9,167</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Warrants issued with convertible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Interest on recourse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(30,980</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(250,459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(5,190,776</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(517,233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(337,276</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782,454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2,803,257</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129,481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2,886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Right of use liabilities,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(35,782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210,518</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(12,294,348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(16,984,147</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(83,662</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(389,636</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(473,298</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Proceeds from simple agreement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10,585,002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Proceeds from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2,500,000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Repayments of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Proceeds from convertible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2,798,410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Repayments of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Repayment of lease liability financing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(1,658,359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Issuance of common stock pursuant to Merger, net of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10,026,258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Issuance of Series Seed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999,999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13,083,262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14,085,001</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rPr>
            </w:pPr>
            <w:r>
              <w:rPr>
                <w:b/>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786,421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(3,372,444</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2,715,719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7,965,861</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3,502,140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4,593,417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258,256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Vested restricted stock purchased with recourse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10,302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Derivative liability in connection with convertible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Debt discount issued as accrued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63,840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Conversion of SAFE into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17,490,404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Conversion of convertible note and derivative into common stock in connection with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3,751,875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Warrants issued in connection with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49,000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Note payable, related party of predecessor assumed in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151,500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 w:name="b_005"/>
      <w:bookmarkEnd w:id="38"/>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OPERATIONS</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board of directors of Patricia Acquisition Corp., a Delaware corporation (“Patricia”) and all of its pre-Merger (as defined below) stockholders approved a restated certificate of incorporation, which was effective upon its filing with the Secretary of State of the State of Delaware on July 31, 2023, and through which Patricia changed its name to “Serve Robotics Inc.”</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Operating Co. (formerly known as Serve Robotics Inc.) (the “Company” or “Serve”) is a corporation formed on January 15, 2021 under the laws of the State of Delaware. The Company is developing next generation robots for last-mile delivery services. The Company is headquartered in Redwood City, California.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entered into a contribution and license agreement with Postmates, LLC, a Delaware limited liability company (“Postmates”). Pursuant to the agreement, Postmates transferred over certain contracts and agreements, intellectual property and patents and hardware and equipment to the Company. As the contribution was without consideration, the agreement did not have any effect on the Company’s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Patricia’s wholly-owned subsidiary, Serve Acquisition Corp., a corporation formed in the State of Delaware on July 10, 2023 (“Acquisition Sub”), merged with and into the Company. Pursuant to this transaction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Merger, Patricia Acquisition Corp. changed its name to Serve Robotics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Patricia acquired the business of Serve and will continue the existing business operations of Serve as a public reporting company under the name Serve Robotics Inc. In accordance with “reverse merger” or “reverse acquisition” accounting treatment, the Company was determined the accounting acquirer. Patricia’s historical financial statements before the Merger has been replaced with the historical financial statements of Serve before the Merger in filings with the SEC since the Merger unless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Company sustained net losses since inception and $17,750,350 during the nine months ended September 30, 2023, The Company used cash in operations of $12,445,848 during the nine months ended September 30, 2023. The Company requires additional capital to operate. These factors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until it reaches profitability is dependent upon its ability to generate cash from operating activities and to raise additional capital to fund operations. There are no assurances than management’s plans will be successful.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REVERSE MERGER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Acquisition Sub, merged with and into the Company. Pursuant to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accounted for as a reverse-merger, and recapitalization in accordance with generally accepted accounting principles in the United States (“GAAP”). Serve Robotics Inc. was the acquirer for financial reporting purposes and the Company was the acquired company. Consequently, the assets and liabilities and the operations that are reflected in the historical financial statements prior to the merger are those of Serve Robotics Inc. and have been recorded at the historical cost basis of Serve Robotics Inc., and the financial statements after completion of the merger include the assets and liabilities of the Company and Serve Robotics Inc., historical operations of Serve Robotics Inc. and operations of the Company from the closing date of the merger. Common stock and the corresponding capital amounts of the Company pre-merger were retroactively restated as capital stock shares reflecting the exchange ratio in the merger. In conjunction with the merger, the Company received no cash and assumed no liabilities from Patricia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SUMMARY OF SIGNIFICANT ACCOUNTING POLICIES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and reporting policies of the Company conform to GAAP. The Company’s fiscal year is December 31.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Stock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There was no effect on the number of shares of common stock or preferred stock authorized for issuance under the Company’s certificate of incorporation or the par value of such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to the above, the par value of the Company after the Merger was changed to $0.0001 per share. Accordingly, all par value amounts for all periods presented in the accompanying consolidated financial statements and notes thereto have been adjusted retroactively, where applicable, to reflect the par value adjustment.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consolidated financial statements include the accounts of the Company and its wholly-owned subsidiaries, Serve Operating Co. and Serve Robotics Canada Inc. All inter-company transactions and balances have been eliminated on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Interim Financial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condensed financial statements and related notes have been prepared in accordance with GAAP for interim financial information, within the rules and regulations of the United States Securities and Exchange Commission (the “SEC”). Certain information and disclosures normally included in the annual consolidated financial statements prepared in accordance with GAAP have been condensed or omitted pursuant to such rules and regulations. The unaudited interim financial statements have been prepared on a basis consistent with the audited financial statements and in the opinion of management, reflect all adjustments, consisting of only normal recurring adjustments, necessary for the fair presentation of the results for the interim periods presented and of the financial condition as of the date of the interim balance sheet. The financial data and the other information disclosed in these notes to the interim financial statements related to the nine-month periods are unaudited. Unaudited interim results are not necessarily indicative of the results for the full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financial statements should be read in conjunction with the Company’s audited financial statements and the notes thereto for the year ended December 31, 2022 included in the Form 8-K filed with the SEC on August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valuation of future equity obligations and stock-based compensation.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As of September 30, 2023 and December 31, 2022, the Company’s cash and cash equivalents were held at one accredited financial institution. As of September 30, 2023 and December 31, 2022, the Company had balances in excess of insured amounts,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one customer accounted for 68%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maturities of three months or less at the date of purchase to be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1—Quoted prices in active markets for identical assets or liabilities.</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Company’s accounts receivable, prepaid expenses and accounts payable and accrued expenses approximate their fair values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4 and 7 for fair value disclosures of future equity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Accounts Receivable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services delivered to customers and are stated at their net realizable value. The Company accounts for allowance for doubtful accounts under ASC 310-10-35.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September 30, 2023 and December 31, 2022, the Company determined there was no allowance for doubtful accounts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or market value and accounted for using the specific identification cost method. As of September 30, 2023 and December 31, 2022, inventory primarily consists of robotic component parts from the Company’s suppliers. Management reviews its inventory for obsolescence and impairment annually and did not record a reserve for obsolete inventory for the nine months ended September 30, 2023 and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expense is recognized using the straight-line method over the estimated useful life of the asset, which is three (3) to five (5) years for office equipment and two (2)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 (See Note 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long-lived assets in accordance with the provisions of ASC 360-10-35, </w:t>
      </w:r>
      <w:r>
        <w:rPr>
          <w:rFonts w:ascii="Times New Roman;Times;Serif" w:hAnsi="Times New Roman;Times;Serif"/>
          <w:b w:val="false"/>
          <w:i/>
          <w:caps w:val="false"/>
          <w:smallCaps w:val="false"/>
          <w:sz w:val="20"/>
        </w:rPr>
        <w:t>Property, Plant and Equipment, Impairment or Disposal of Long-lived Assets. </w:t>
      </w:r>
      <w:r>
        <w:rPr>
          <w:rFonts w:ascii="Times New Roman;Times;Serif" w:hAnsi="Times New Roman;Times;Serif"/>
          <w:b w:val="false"/>
          <w:i w:val="false"/>
          <w:caps w:val="false"/>
          <w:smallCaps w:val="false"/>
          <w:sz w:val="20"/>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Offering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FASB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September 30, 2023, there were no deferred offering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Instruments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F-31</w:t>
      </w:r>
    </w:p>
    <w:p>
      <w:pPr>
        <w:pStyle w:val="TextBody"/>
        <w:bidi w:val="0"/>
        <w:spacing w:before="0" w:after="0"/>
        <w:ind w:left="0" w:right="0" w:hanging="0"/>
        <w:jc w:val="left"/>
        <w:rPr/>
      </w:pPr>
      <w:r>
        <w:rPr/>
        <w:t> </w:t>
      </w:r>
    </w:p>
    <w:p>
      <w:pPr>
        <w:pStyle w:val="TextBody"/>
        <w:shd w:fill="FFFFFF" w:val="clear"/>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stock issuances at the effective date. If the subscription is not funded upon issuance, the Company records an escrow receivable as an asset on a balance sheet. When subscription receivables are not received prior to the issuance of financial statements at a reporting date in satisfaction of the requirements under FASB ASC 505-10-45-2, the subscription is reclassified as a contra account to stockholders’ equity on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Recognition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under ASC 606</w:t>
      </w:r>
      <w:r>
        <w:rPr>
          <w:rFonts w:ascii="Times New Roman;Times;Serif" w:hAnsi="Times New Roman;Times;Serif"/>
          <w:b w:val="false"/>
          <w:i/>
          <w:caps w:val="false"/>
          <w:smallCaps w:val="false"/>
          <w:sz w:val="20"/>
        </w:rPr>
        <w:t>, Revenue from Contracts with Customers</w:t>
      </w:r>
      <w:r>
        <w:rPr>
          <w:rFonts w:ascii="Times New Roman;Times;Serif" w:hAnsi="Times New Roman;Times;Serif"/>
          <w:b w:val="false"/>
          <w:i w:val="false"/>
          <w:caps w:val="false"/>
          <w:smallCaps w:val="false"/>
          <w:sz w:val="20"/>
        </w:rPr>
        <w:t>. The Company determines revenue recognition through the following steps:</w:t>
      </w:r>
    </w:p>
    <w:p>
      <w:pPr>
        <w:pStyle w:val="TextBody"/>
        <w:shd w:fill="FFFFFF" w:val="clear"/>
        <w:bidi w:val="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454"/>
        <w:gridCol w:w="9551"/>
      </w:tblGrid>
      <w:tr>
        <w:trPr/>
        <w:tc>
          <w:tcPr>
            <w:tcW w:w="20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w:t>
            </w:r>
          </w:p>
        </w:tc>
        <w:tc>
          <w:tcPr>
            <w:tcW w:w="95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a contract with a customer;</w:t>
            </w:r>
          </w:p>
        </w:tc>
      </w:tr>
      <w:tr>
        <w:trPr/>
        <w:tc>
          <w:tcPr>
            <w:tcW w:w="20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955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47"/>
        <w:gridCol w:w="333"/>
        <w:gridCol w:w="9725"/>
      </w:tblGrid>
      <w:tr>
        <w:trPr/>
        <w:tc>
          <w:tcPr>
            <w:tcW w:w="14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r>
        <w:trPr/>
        <w:tc>
          <w:tcPr>
            <w:tcW w:w="147"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224"/>
        <w:gridCol w:w="508"/>
        <w:gridCol w:w="9473"/>
      </w:tblGrid>
      <w:tr>
        <w:trPr/>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w:t>
            </w:r>
          </w:p>
        </w:tc>
        <w:tc>
          <w:tcPr>
            <w:tcW w:w="94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Determination of the transaction price;</w:t>
            </w:r>
          </w:p>
        </w:tc>
      </w:tr>
      <w:tr>
        <w:trPr/>
        <w:tc>
          <w:tcPr>
            <w:tcW w:w="224"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9473"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6"/>
        <w:gridCol w:w="240"/>
        <w:gridCol w:w="9859"/>
      </w:tblGrid>
      <w:tr>
        <w:trPr/>
        <w:tc>
          <w:tcPr>
            <w:tcW w:w="1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 and</w:t>
            </w:r>
          </w:p>
        </w:tc>
      </w:tr>
      <w:tr>
        <w:trPr/>
        <w:tc>
          <w:tcPr>
            <w:tcW w:w="1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85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of revenue when or as the performance obligations are satisfied.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delivery revenue was $111,784, branding fees were $45,250 and other revenue was $7,792, respectively. During the nine months ended September 30, 2022, delivery revenue was $35,049 and branding fees were $25,640,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allocations of depreciation on robot assets used for revenue producing activities, personnel time related to revenue activities, and costs related to data, software and similar costs that allow the robots to function as intended and for the Company to communicate with the robots while in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include personnel costs and public relations expenses. Advertising costs are expensed as incurred and included in sales and marketing expenses. Advertising expense were approximately $0 and $47,700 for the three months ended September 30, 2023 and 2022, and $184,000, and $144,000 for the nine months ended September 30, 2023 and 2022, all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expenses primarily consist of costs for field operations personnel.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F-32</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Costs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the research and development of the Company’s products are expensed as incurred. Research and development costs include product design, hardware and software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Financial Accounting Standards Board (“FASB”) issued Accounting Standard Update (“ASU”) 2016 02, Leases (ASC 842). This ASU requires a lessee to recognize a right-of-use asset and a lease liability under most operating leases in its balance sheet. The ASU is effective for annual and interim periods beginning after December 15, 2021. Early adoption is permitted. The Company adopted ASC 842 on January 1, 2022 using the modified retrospective approach. The Company elected the package of practical expedients available for existing contracts, which allowed the Company to carry forward our historical assessments of lease identification, lease classification, and initial direct costs and did not require retrospective medication. The Company also elected a policy to not apply the recognition requirements of ASC 842 for short-term leases with a term of 12 months or 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or includes an embedded lease, at inception for each contract or agreement. A contract is or contains an embedded lease if the contract meets all of the below criteria:</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860"/>
        <w:gridCol w:w="9182"/>
      </w:tblGrid>
      <w:tr>
        <w:trPr/>
        <w:tc>
          <w:tcPr>
            <w:tcW w:w="16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an identified asset</w:t>
            </w:r>
          </w:p>
        </w:tc>
      </w:tr>
    </w:tbl>
    <w:p>
      <w:pPr>
        <w:pStyle w:val="TextBody"/>
        <w:bidi w:val="0"/>
        <w:spacing w:before="0" w:after="0"/>
        <w:ind w:left="10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14"/>
        <w:gridCol w:w="9731"/>
      </w:tblGrid>
      <w:tr>
        <w:trPr/>
        <w:tc>
          <w:tcPr>
            <w:tcW w:w="6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obtains substantially all of the economic benefits of the asset</w:t>
            </w:r>
          </w:p>
        </w:tc>
      </w:tr>
    </w:tbl>
    <w:p>
      <w:pPr>
        <w:pStyle w:val="TextBody"/>
        <w:bidi w:val="0"/>
        <w:spacing w:before="0" w:after="0"/>
        <w:ind w:left="10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78"/>
        <w:gridCol w:w="9447"/>
      </w:tblGrid>
      <w:tr>
        <w:trPr/>
        <w:tc>
          <w:tcPr>
            <w:tcW w:w="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4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has the right to direct the use of the asset</w:t>
            </w:r>
          </w:p>
        </w:tc>
      </w:tr>
    </w:tbl>
    <w:p>
      <w:pPr>
        <w:pStyle w:val="TextBody"/>
        <w:bidi w:val="0"/>
        <w:spacing w:before="0" w:after="0"/>
        <w:ind w:left="1080" w:right="0" w:hanging="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 (See Note 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F-33</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September 30, 2023 and December 31, 2022, diluted net loss per share is the same as basic net loss per share for each period. Potentially dilutive items outstanding as of September 30, 2023 and 2022 is as follows:</w:t>
      </w:r>
    </w:p>
    <w:p>
      <w:pPr>
        <w:pStyle w:val="TextBody"/>
        <w:bidi w:val="0"/>
        <w:spacing w:before="0" w:after="0"/>
        <w:ind w:left="0" w:right="0" w:hanging="0"/>
        <w:jc w:val="both"/>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5735"/>
        <w:gridCol w:w="60"/>
        <w:gridCol w:w="60"/>
        <w:gridCol w:w="980"/>
        <w:gridCol w:w="60"/>
        <w:gridCol w:w="60"/>
        <w:gridCol w:w="60"/>
        <w:gridCol w:w="980"/>
        <w:gridCol w:w="75"/>
      </w:tblGrid>
      <w:tr>
        <w:trPr/>
        <w:tc>
          <w:tcPr>
            <w:tcW w:w="57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ind w:left="0" w:right="0" w:hanging="180"/>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pPr>
            <w:r>
              <w:rPr/>
              <w:t>Series Seed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3,091,672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pPr>
            <w:r>
              <w:rPr/>
              <w:t>Series Seed-1 preferred stock (convertible 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2,440,412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pPr>
            <w:r>
              <w:rPr/>
              <w:t>Series Seed-2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2,088,696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pPr>
            <w:r>
              <w:rPr/>
              <w:t>Series Seed-3 preferred stock (convertible 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357,836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142,730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54,203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pPr>
            <w:r>
              <w:rPr/>
              <w:t>Preferred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128,819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1,594,800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941,406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pPr>
            <w:r>
              <w:rPr/>
              <w:t>Unvested restricted common stock issued not outstanding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326,839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pPr>
            <w:r>
              <w:rPr/>
              <w:t>Total potentially dilutive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2,064,369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9,103,044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in the table of September 30, 2022 are the number of shares that would be issuable upon the conversion of Simple Agreements for Future Equity, for which the number of shares are indeterminable as of September 30, 2022. Upon consummation of the Merger, all outstanding SAFEs were converted into 4,372,601 shares of common stock (see Notes 4, 7 and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all outstanding shares of preferred stock were converted into an aggregate of 7,978,616 shares of common stock. Furthermore, all outstanding warrants to purchase shares of Series Seed preferred stock were converted into 128,819 warrants to purchase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and liabilities subject to fair value measurements on a recurring basis and the level of inputs used for such measurements were as follows:</w:t>
      </w:r>
    </w:p>
    <w:p>
      <w:pPr>
        <w:pStyle w:val="TextBody"/>
        <w:bidi w:val="0"/>
        <w:spacing w:before="0" w:after="0"/>
        <w:ind w:left="0" w:right="0" w:hanging="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320"/>
        <w:gridCol w:w="60"/>
        <w:gridCol w:w="274"/>
        <w:gridCol w:w="540"/>
        <w:gridCol w:w="117"/>
        <w:gridCol w:w="117"/>
        <w:gridCol w:w="449"/>
        <w:gridCol w:w="305"/>
        <w:gridCol w:w="117"/>
        <w:gridCol w:w="117"/>
        <w:gridCol w:w="449"/>
        <w:gridCol w:w="305"/>
        <w:gridCol w:w="117"/>
        <w:gridCol w:w="117"/>
        <w:gridCol w:w="274"/>
        <w:gridCol w:w="540"/>
        <w:gridCol w:w="75"/>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3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w:t>
              <w:br/>
              <w:t>as of September 30, 2023 Using:</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814" w:type="dxa"/>
            <w:gridSpan w:val="2"/>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8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Simple agreement for future equity</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Derivative liability</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4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4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320"/>
        <w:gridCol w:w="60"/>
        <w:gridCol w:w="449"/>
        <w:gridCol w:w="305"/>
        <w:gridCol w:w="60"/>
        <w:gridCol w:w="60"/>
        <w:gridCol w:w="449"/>
        <w:gridCol w:w="305"/>
        <w:gridCol w:w="60"/>
        <w:gridCol w:w="60"/>
        <w:gridCol w:w="140"/>
        <w:gridCol w:w="1100"/>
        <w:gridCol w:w="60"/>
        <w:gridCol w:w="60"/>
        <w:gridCol w:w="140"/>
        <w:gridCol w:w="1100"/>
        <w:gridCol w:w="75"/>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w:t>
              <w:br/>
              <w:t>as of December 31, 2022 Using:</w:t>
            </w:r>
          </w:p>
        </w:tc>
        <w:tc>
          <w:tcPr>
            <w:tcW w:w="75" w:type="dxa"/>
            <w:tcBorders/>
            <w:vAlign w:val="center"/>
          </w:tcPr>
          <w:p>
            <w:pPr>
              <w:pStyle w:val="TableContents"/>
              <w:bidi w:val="0"/>
              <w:spacing w:before="0" w:after="283"/>
              <w:jc w:val="center"/>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3320"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Simple agreement for future equity</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13,150,745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13,150,745</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13,150,745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13,150,745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Simple Agreements for Future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simple agreements for future equity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F-34</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settlement outcomes include unobservable Level 3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assumed a 85% probability of a liquidity and/or equity financing events as the primary ultimate settlement outcomes of the future equity obligations. Immediately prior to the Merger, the Company revalued the remaining outstanding SAFEs using a 100% probability of an equity financing and $4.00 as the fair value of the underlying common stock (see Note 8). Upon the Merger, the SAFEs converted into 4,372,601 shares of common stock at a fair value of $17,490,404.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convertible notes, the Company recorded a derivative liability (see Note 6). The estimated fair value of the derivative liability is recorded using significant unobservable measures and other fair value inputs and is therefore classified as a Level 3 financial instrument.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liability is valued using a probability-weighted scenario analysis utilizing the terms of the notes and assumptions regarding cash settlement or conversion to equity. Immediately prior to the Merger, the Company determined a 100% probability of conversion into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changes in the fair value of our Level 3 financial instrument liabilities for the nine months ended September 30, 2023:</w:t>
      </w:r>
    </w:p>
    <w:p>
      <w:pPr>
        <w:pStyle w:val="TextBody"/>
        <w:bidi w:val="0"/>
        <w:spacing w:before="0" w:after="0"/>
        <w:ind w:left="0" w:right="0" w:firstLine="360"/>
        <w:jc w:val="both"/>
        <w:rPr>
          <w:caps w:val="false"/>
          <w:smallCaps w:val="false"/>
        </w:rPr>
      </w:pPr>
      <w:r>
        <w:rPr>
          <w:caps w:val="false"/>
          <w:smallCaps w:val="false"/>
        </w:rPr>
        <w:t> </w:t>
      </w:r>
    </w:p>
    <w:tbl>
      <w:tblPr>
        <w:tblW w:w="9054" w:type="dxa"/>
        <w:jc w:val="left"/>
        <w:tblInd w:w="0" w:type="dxa"/>
        <w:tblLayout w:type="fixed"/>
        <w:tblCellMar>
          <w:top w:w="0" w:type="dxa"/>
          <w:left w:w="0" w:type="dxa"/>
          <w:bottom w:w="0" w:type="dxa"/>
          <w:right w:w="0" w:type="dxa"/>
        </w:tblCellMar>
      </w:tblPr>
      <w:tblGrid>
        <w:gridCol w:w="4490"/>
        <w:gridCol w:w="60"/>
        <w:gridCol w:w="168"/>
        <w:gridCol w:w="1412"/>
        <w:gridCol w:w="95"/>
        <w:gridCol w:w="60"/>
        <w:gridCol w:w="163"/>
        <w:gridCol w:w="1026"/>
        <w:gridCol w:w="95"/>
        <w:gridCol w:w="60"/>
        <w:gridCol w:w="140"/>
        <w:gridCol w:w="1175"/>
        <w:gridCol w:w="110"/>
      </w:tblGrid>
      <w:tr>
        <w:trPr/>
        <w:tc>
          <w:tcPr>
            <w:tcW w:w="44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 xml:space="preserve">Simple </w:t>
              <w:br/>
              <w:t>Agreement For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b/>
              </w:rPr>
            </w:pPr>
            <w:r>
              <w:rPr>
                <w:b/>
              </w:rPr>
              <w:t xml:space="preserve">Embedded </w:t>
              <w:br/>
              <w:t>Derivative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Future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12" w:type="dxa"/>
            <w:tcBorders/>
            <w:shd w:fill="CCEEFF" w:val="clear"/>
            <w:vAlign w:val="center"/>
          </w:tcPr>
          <w:p>
            <w:pPr>
              <w:pStyle w:val="TableContents"/>
              <w:bidi w:val="0"/>
              <w:spacing w:before="0" w:after="283"/>
              <w:jc w:val="right"/>
              <w:rPr/>
            </w:pPr>
            <w:r>
              <w:rPr/>
              <w:t>13,150,745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13,150,745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Issuance of simple agreements for future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pPr>
            <w:r>
              <w:rPr/>
              <w:t>2,666,953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2,666,953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Issuance of embedded derivative liability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601,000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pPr>
            <w:r>
              <w:rPr/>
              <w:t>1,672,706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1,821,706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Conversion to common stock before APO</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shd w:fill="CCEEFF" w:val="clear"/>
            <w:tcMar>
              <w:bottom w:w="28" w:type="dxa"/>
            </w:tcMar>
            <w:vAlign w:val="center"/>
          </w:tcPr>
          <w:p>
            <w:pPr>
              <w:pStyle w:val="TableContents"/>
              <w:bidi w:val="0"/>
              <w:spacing w:before="0" w:after="283"/>
              <w:jc w:val="right"/>
              <w:rPr/>
            </w:pPr>
            <w:r>
              <w:rPr/>
              <w:t>(17,490,404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pPr>
            <w:r>
              <w:rPr/>
              <w:t>(750,000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(18,240,404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490" w:type="dxa"/>
            <w:tcBorders/>
            <w:shd w:fill="FFFFFF" w:val="clear"/>
            <w:vAlign w:val="center"/>
          </w:tcPr>
          <w:p>
            <w:pPr>
              <w:pStyle w:val="TableContents"/>
              <w:bidi w:val="0"/>
              <w:spacing w:before="0" w:after="283"/>
              <w:jc w:val="left"/>
              <w:rPr/>
            </w:pPr>
            <w:r>
              <w:rPr/>
              <w:t>Outstanding as of September 30, 2023</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property and equipment:</w:t>
      </w:r>
    </w:p>
    <w:p>
      <w:pPr>
        <w:pStyle w:val="TextBody"/>
        <w:bidi w:val="0"/>
        <w:spacing w:before="0" w:after="0"/>
        <w:ind w:left="0" w:right="0" w:hanging="0"/>
        <w:jc w:val="both"/>
        <w:rPr>
          <w:caps w:val="false"/>
          <w:smallCaps w:val="false"/>
        </w:rPr>
      </w:pPr>
      <w:r>
        <w:rPr>
          <w:caps w:val="false"/>
          <w:smallCaps w:val="false"/>
        </w:rPr>
        <w:t> </w:t>
      </w:r>
    </w:p>
    <w:tbl>
      <w:tblPr>
        <w:tblW w:w="6323" w:type="dxa"/>
        <w:jc w:val="left"/>
        <w:tblInd w:w="0" w:type="dxa"/>
        <w:tblLayout w:type="fixed"/>
        <w:tblCellMar>
          <w:top w:w="0" w:type="dxa"/>
          <w:left w:w="0" w:type="dxa"/>
          <w:bottom w:w="0" w:type="dxa"/>
          <w:right w:w="0" w:type="dxa"/>
        </w:tblCellMar>
      </w:tblPr>
      <w:tblGrid>
        <w:gridCol w:w="2990"/>
        <w:gridCol w:w="60"/>
        <w:gridCol w:w="178"/>
        <w:gridCol w:w="1356"/>
        <w:gridCol w:w="95"/>
        <w:gridCol w:w="60"/>
        <w:gridCol w:w="183"/>
        <w:gridCol w:w="1291"/>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2022</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356" w:type="dxa"/>
            <w:tcBorders/>
            <w:shd w:fill="CCEEFF" w:val="clear"/>
            <w:vAlign w:val="center"/>
          </w:tcPr>
          <w:p>
            <w:pPr>
              <w:pStyle w:val="TableContents"/>
              <w:bidi w:val="0"/>
              <w:spacing w:before="0" w:after="283"/>
              <w:jc w:val="right"/>
              <w:rPr/>
            </w:pPr>
            <w:r>
              <w:rPr/>
              <w:t>248,240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245,747</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Robot assets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FFFFFF" w:val="clear"/>
            <w:tcMar>
              <w:bottom w:w="28" w:type="dxa"/>
            </w:tcMar>
            <w:vAlign w:val="center"/>
          </w:tcPr>
          <w:p>
            <w:pPr>
              <w:pStyle w:val="TableContents"/>
              <w:bidi w:val="0"/>
              <w:spacing w:before="0" w:after="283"/>
              <w:jc w:val="right"/>
              <w:rPr/>
            </w:pPr>
            <w:r>
              <w:rPr/>
              <w:t>3,561,288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3,561,288</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3,809,528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3,807,035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FFFFFF" w:val="clear"/>
            <w:tcMar>
              <w:bottom w:w="28" w:type="dxa"/>
            </w:tcMar>
            <w:vAlign w:val="center"/>
          </w:tcPr>
          <w:p>
            <w:pPr>
              <w:pStyle w:val="TableContents"/>
              <w:bidi w:val="0"/>
              <w:spacing w:before="0" w:after="283"/>
              <w:jc w:val="right"/>
              <w:rPr/>
            </w:pPr>
            <w:r>
              <w:rPr/>
              <w:t>(1,827,527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(430,608</w:t>
            </w:r>
          </w:p>
        </w:tc>
        <w:tc>
          <w:tcPr>
            <w:tcW w:w="110"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1,982,001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3,376,427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$1,396,919 and $40,521 for the nine months ended September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F-35</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NOTE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Silicon Valley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Company entered into a promissory note with Silicon Valley Bank (“SVB”) for a principal amount of $2,500,000. The note matures on March 1, 2025 and bears interest at the greater of 3.25% or prime rate. The loan had interest-only payments through September 2022, and then requires monthly principal payments of $83,333, plus interest, beginning October 2022. During the nine months ended September 30, 2023, the Company made repayments approximately $750,000 and $1,500,000 remained outstanding. Interest expense was $58,315 for the nine months ended September 30, 2023, all of which was paid. The note is subject to subordination related to leased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note, the Company issued SVB 40,292 warrants to purchase common stock. The warrants have an exercise price of $0.49 per share, are immediately exercisable and have a term of 12 years. The fair value of the warrant was $49,000, which was recognized as a debt discount and will be amortized to interest expense over the life of the note. During the nine months ended September 30, 2023, amortization of debt discount was $12,250. Upon the Merger, all warrants were no longer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note payable, net of unamortized discount of $23,150, was $1,476,850.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Short-Term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 the Company received $750,000 in proceeds from short-term notes. The loans accrued interest on the unpaid principal amount at a rate of 18% per annum. Each holder of the notes was entitled to an exit fee equal to 16% of the stated principal amount of such holder’s note, less the total amount of interest that accrued on such note prior to the closing of the Merger (the “Exit Fee”). Upon the Merger, the Company fully repaid the notes and exit fee for a total of $920,015.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received bridge financing totaling $3,001,500 in principal for which the Company received $2,798,410 in net proceeds (the “April Notes”). As a result, the Company incurred fees of $203,090 which was recorded as a debt discount. The April Notes bore interest at 10% per annum and are payable six months from the date of the bridge financing, subject to conversion. The April Notes were convertible into shares of common stock at a conversion price equal to 80% of the price per the PIPE offering (the “Private Placement”), which initially closed simultaneously with the Merger on July 31, 2023 (see Note 8). Upon the closing of the Merger and the initial closing of the Private Placement, the outstanding principal amount of the Bridge Notes was automatically converted into 937,961 shares of common stock at a conversion price of $3.20 per share. Furthermore, accrued interest on the April Notes were forgiven; therefore, no interest was recognized as of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terms of the conversion features of the April Notes as noted above in accordance with ASC Topic No. 815 – 40, Derivatives and Hedging – Contracts in Entity’s Own Stock, and determined they are not indexed to the Company’s common stock and that the conversion feature, which is akin to a redemption feature, meet the definition of a liability. The notes contain an indeterminate number of shares to settle with conversion options outside of the Company’s control. Therefore, the Company bifurcated the conversion feature and accounted for it as a separate derivative liability. Upon issuance of the April Notes, the Company recognized a derivative liability at a fair value of $601,000, which was recorded as a debt discount and was amortized over the life of the notes. Upon the Merger and the Private Placement, the derivative liability had a fair value of $750,000, which was reclassified to additional paid-in capital in connection with the conversion of the underlying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the Company amortized $804,465 of the debt discount to interest expense. At September 30, 2023, the outstanding balance of the April Notes, less unamortized discount of $0, was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Notes, the Company granted each holder warrants to purchase common stock equal to 50% of the number of shares of common stock into which the loan is convertible into at an exercise price of $3.20 per share. Furthermore, the Company granted warrants to the brokers (the “Bridge Brokers”) equal to 8% of the number of shares of common stock into which April Notes, other than those purchased by insider investors, would convert at the closing of the Merger, with an exercise price of $3.20 per share. As the issuance of the warrants noted above were contingent on the closing of the Merger, they were not considered granted until July 31, 2023 (see Note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July 2023, the Company issued a senior secured promissory note with its Chief Executive Officer for which the Company received $449,000 in proceeds. The note bore interest at 7.67% per annum and matured upon the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note, the Company agreed to pay an exit fee upon repayment of the note equal to 16% of the principal, less the total interest that accrued until repayment. Upon the Merger, the Company fully repaid the note and exit fee for a total of $520,840.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Patricia –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Merger, Patricia had an outstanding note with its then majority stockholder for $151,500. As of September 30, 2023, the balance remained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F-36</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FUTURE EQUITY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entered into Simple Agreements for Future Equity (“SAFE”) for aggregate purchase amounts of $2,666,953. The 2023 agreements, which provide the right of the investors to future equity in the Company, are subject to a valuation cap of $65 million. The agreements have a discount rate of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preferred equity financing before the termination of the SAFEs, on the initial closing of such equity financing, this SAFE will automatically convert into the number of shares of Safe Preferred Stock equal to the Purchase Amount divided by the Discount Price or Conversion Price. The Discount Price is the price per share of the Standard Preferred Stock sold in the equity financing multiplied by the Discount Rate. The Conversion Price is 1) the Safe Price or (2) the Discount Price, whichever calculation results in a greater number of shares of Safe Preferred Stock. The SAFE price is the price per share equal to the valuation cap divided by the Company’s dilutive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in July 2023, all remaining outstanding SAFEs were converted into 4,372,601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and December 31, 2022, the fair value of SAFEs was $0 and $13,150,745, respectively. See Note 4 for fair value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consummation of the Merger, the Company had issued Series Seed, Series Seed-1, Series Seed-2 and Series Seed-3 convertible preferred stock (collectively referred to as “Preferred Stock”). The Company’s certificate of incorporation, as amended and restated, had authorized the Company to issue a total of 10,090,150 shares of Preferred Stock, of which 4,008,079 shares were designated as Series Seed Preferred Stock, 3,037,227 shares were designated as Series Seed-1 Preferred Stock, 2,599,497 shares were designated as Series Seed-2 Preferred Stock and 445,437 shares were designated as Series Seed-3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preferences were as follows:</w:t>
      </w:r>
    </w:p>
    <w:p>
      <w:pPr>
        <w:pStyle w:val="TextBody"/>
        <w:bidi w:val="0"/>
        <w:spacing w:before="0" w:after="0"/>
        <w:ind w:left="0" w:right="0" w:hanging="0"/>
        <w:jc w:val="both"/>
        <w:rPr>
          <w:caps w:val="false"/>
          <w:smallCaps w:val="false"/>
        </w:rPr>
      </w:pPr>
      <w:r>
        <w:rPr>
          <w:caps w:val="false"/>
          <w:smallCaps w:val="false"/>
        </w:rPr>
        <w:t> </w:t>
      </w:r>
    </w:p>
    <w:tbl>
      <w:tblPr>
        <w:tblW w:w="5938" w:type="dxa"/>
        <w:jc w:val="left"/>
        <w:tblInd w:w="0" w:type="dxa"/>
        <w:tblLayout w:type="fixed"/>
        <w:tblCellMar>
          <w:top w:w="0" w:type="dxa"/>
          <w:left w:w="0" w:type="dxa"/>
          <w:bottom w:w="0" w:type="dxa"/>
          <w:right w:w="0" w:type="dxa"/>
        </w:tblCellMar>
      </w:tblPr>
      <w:tblGrid>
        <w:gridCol w:w="2795"/>
        <w:gridCol w:w="60"/>
        <w:gridCol w:w="247"/>
        <w:gridCol w:w="1227"/>
        <w:gridCol w:w="60"/>
        <w:gridCol w:w="60"/>
        <w:gridCol w:w="158"/>
        <w:gridCol w:w="1256"/>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 preferred stock</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11,999,997</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Series Seed-1 preferred stock</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3,699,950</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Seed-2 preferred stock</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5,674,962</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Series Seed-3 preferred stock</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1,250,000</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22,624,909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there were 10,000,000 shares of preferred stock, par value $0.0001 per share, authorized for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Company issued 257,639 shares of Series Seed Preferred Stock for gross proceeds of $999,999, or $3.88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in July 2023, all shares of Serve Preferred Stock were converted into 7,978,616 shares of common stock of the newly merged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the Company has authorized 300,000,000 shares of common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F-37</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Merger, the Company issued 2,782,378 shares of common stock pursuant to a private placement offering for gross proceeds of $11,129,512, or at a purchase price of $4.00 per share. On August 31, 2023, the Company issued an additional 257,762 shares of common stock pursuant to the private placement offering for gross proceeds of $1,031,048, or $4.00 per share. The private placement offerings are referred to herein as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Patricia’s predecessor shares converted into 1,500,000 shares of common stock of the newly merged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all outstanding SAFEs were converted into 4,372,601 shares of common stock (see Notes 4 and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the outstanding convertible note and related derivative liability was converted into 937,961 shares of common stock (see Notes 4 and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all shares of Serve Preferred Stock were converted into 7,978,616 shares of common stock.</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issued 338,121 shares of restricted common stock for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During the nine months ended September 30, 2023, 8,375 shares of restricted common stock vested for a value of $10,302. As of September 30, 2023, the subscription receivable balance was $168,516 and the corresponding restricted stock award liability was $159,716.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inclusive of founders’ restricted stock issued in 2021, 3,185,037 shares of common stock had vested and 6,533,167 total shares of common stock were outstanding. Total issued shares of common stock were 6,860,053, which includes the shares of restricted stock issued with the recourse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and 2022, the Company recorded stock-based compensation pertaining to vesting of restricted common stock of $218,453 and $72,300,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and 2022, the Company repurchased restricted stock awards of 301,600 and 240,700 shares of common stock, respectively, for nominal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STOCK-BASED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permits the grant of incentive stock options, nonstatutory stock options, stock appreciation rights (“SARs”), restricted stock, restricted stock units (“RSUs”) and stock bonus awards (all such types of awards, collectively, “stock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of directors, 4% of the shares of common stock issued and outstanding on the last day of the immediately preceding month on a fully-diluted and as-converted basis and (ii) such other number of shares determined by our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stock awards or awards or shares issued under the 2021 Plan that are assumed by the Company pursuant to the Merger Agreement (“Existing Plan Awards”) expire or are forfeited or becomes unexerciseable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 Robotics 2021 Equity Incentive Plan</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September 30, 2023. The option exercise price generally may not be less than the underlying stock’s fair market value at the date of the grant and generally have a term of ten years. The amounts granted each calendar year to an employee or non-employee is limited depending on the type of award. As of September 30, 2023, there were 3,275,863 shares available for grant under the 2021 Plan. Stock options granted under the 2021 Plan typically vest over a four-year period, with a one-year cliff as well as via specified milestones.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information related to stock options for the nine months ended September 30, 2023 is as follows:</w:t>
      </w:r>
    </w:p>
    <w:p>
      <w:pPr>
        <w:pStyle w:val="TextBody"/>
        <w:bidi w:val="0"/>
        <w:spacing w:before="0" w:after="0"/>
        <w:ind w:left="0" w:right="0" w:hanging="0"/>
        <w:jc w:val="left"/>
        <w:rPr>
          <w:caps w:val="false"/>
          <w:smallCaps w:val="false"/>
        </w:rPr>
      </w:pPr>
      <w:r>
        <w:rPr>
          <w:caps w:val="false"/>
          <w:smallCaps w:val="false"/>
        </w:rPr>
        <w:t> </w:t>
      </w:r>
    </w:p>
    <w:tbl>
      <w:tblPr>
        <w:tblW w:w="10058" w:type="dxa"/>
        <w:jc w:val="left"/>
        <w:tblInd w:w="0" w:type="dxa"/>
        <w:tblLayout w:type="fixed"/>
        <w:tblCellMar>
          <w:top w:w="0" w:type="dxa"/>
          <w:left w:w="0" w:type="dxa"/>
          <w:bottom w:w="0" w:type="dxa"/>
          <w:right w:w="0" w:type="dxa"/>
        </w:tblCellMar>
      </w:tblPr>
      <w:tblGrid>
        <w:gridCol w:w="3665"/>
        <w:gridCol w:w="60"/>
        <w:gridCol w:w="60"/>
        <w:gridCol w:w="980"/>
        <w:gridCol w:w="95"/>
        <w:gridCol w:w="60"/>
        <w:gridCol w:w="822"/>
        <w:gridCol w:w="2587"/>
        <w:gridCol w:w="60"/>
        <w:gridCol w:w="60"/>
        <w:gridCol w:w="191"/>
        <w:gridCol w:w="1343"/>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Intrinsic Value</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861,309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w:t>
            </w:r>
          </w:p>
        </w:tc>
        <w:tc>
          <w:tcPr>
            <w:tcW w:w="2587"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34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765,477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2587" w:type="dxa"/>
            <w:tcBorders/>
            <w:shd w:fill="FFFFFF" w:val="clear"/>
            <w:vAlign w:val="center"/>
          </w:tcPr>
          <w:p>
            <w:pPr>
              <w:pStyle w:val="TableContents"/>
              <w:bidi w:val="0"/>
              <w:spacing w:before="0" w:after="283"/>
              <w:jc w:val="right"/>
              <w:rPr/>
            </w:pPr>
            <w:r>
              <w:rPr/>
              <w:t>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25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(31,985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2587" w:type="dxa"/>
            <w:tcBorders/>
            <w:shd w:fill="FFFFFF" w:val="clear"/>
            <w:vAlign w:val="center"/>
          </w:tcPr>
          <w:p>
            <w:pPr>
              <w:pStyle w:val="TableContents"/>
              <w:bidi w:val="0"/>
              <w:spacing w:before="0" w:after="283"/>
              <w:jc w:val="right"/>
              <w:rPr/>
            </w:pPr>
            <w:r>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Outstanding as of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1,594,800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w:t>
            </w:r>
          </w:p>
        </w:tc>
        <w:tc>
          <w:tcPr>
            <w:tcW w:w="2587"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343" w:type="dxa"/>
            <w:tcBorders/>
            <w:shd w:fill="CCEEFF" w:val="clear"/>
            <w:vAlign w:val="center"/>
          </w:tcPr>
          <w:p>
            <w:pPr>
              <w:pStyle w:val="TableContents"/>
              <w:bidi w:val="0"/>
              <w:spacing w:before="0" w:after="283"/>
              <w:jc w:val="right"/>
              <w:rPr/>
            </w:pPr>
            <w:r>
              <w:rPr/>
              <w:t>5,405,876</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25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Exercisable as of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296,057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w:t>
            </w:r>
          </w:p>
        </w:tc>
        <w:tc>
          <w:tcPr>
            <w:tcW w:w="2587" w:type="dxa"/>
            <w:tcBorders/>
            <w:shd w:fill="CCEEFF" w:val="clear"/>
            <w:vAlign w:val="center"/>
          </w:tcPr>
          <w:p>
            <w:pPr>
              <w:pStyle w:val="TableContents"/>
              <w:bidi w:val="0"/>
              <w:spacing w:before="0" w:after="283"/>
              <w:jc w:val="right"/>
              <w:rPr/>
            </w:pPr>
            <w:r>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343" w:type="dxa"/>
            <w:tcBorders/>
            <w:shd w:fill="CCEEFF" w:val="clear"/>
            <w:vAlign w:val="center"/>
          </w:tcPr>
          <w:p>
            <w:pPr>
              <w:pStyle w:val="TableContents"/>
              <w:bidi w:val="0"/>
              <w:spacing w:before="0" w:after="283"/>
              <w:jc w:val="right"/>
              <w:rPr/>
            </w:pPr>
            <w:r>
              <w:rPr/>
              <w:t>1,292,215</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Exercisable as of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w:t>
            </w:r>
          </w:p>
        </w:tc>
        <w:tc>
          <w:tcPr>
            <w:tcW w:w="2587" w:type="dxa"/>
            <w:tcBorders/>
            <w:shd w:fill="FFFFFF" w:val="clear"/>
            <w:vAlign w:val="center"/>
          </w:tcPr>
          <w:p>
            <w:pPr>
              <w:pStyle w:val="TableContents"/>
              <w:bidi w:val="0"/>
              <w:spacing w:before="0" w:after="283"/>
              <w:jc w:val="right"/>
              <w:rPr/>
            </w:pPr>
            <w:r>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134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 weighted average duration to expiration of outstanding options was 8.79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of $85,803 and $41,506 was recognized under ASC 718 for the nine months ended September 30, 2023 and 2022, respectively. Total unrecognized compensation cost related to non-vested stock option awards amounted to approximately $521,000 as of September 30, 2023, which will be recognized over a weighted average period of 3.99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F-39</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were valued using the Black-Scholes pricing model using the range of inputs as indicated below:</w:t>
      </w:r>
    </w:p>
    <w:p>
      <w:pPr>
        <w:pStyle w:val="TextBody"/>
        <w:bidi w:val="0"/>
        <w:jc w:val="center"/>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345"/>
        <w:gridCol w:w="60"/>
        <w:gridCol w:w="60"/>
        <w:gridCol w:w="1100"/>
        <w:gridCol w:w="275"/>
        <w:gridCol w:w="60"/>
        <w:gridCol w:w="60"/>
        <w:gridCol w:w="1070"/>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5" w:type="dxa"/>
            <w:gridSpan w:val="6"/>
            <w:tcBorders/>
            <w:vAlign w:val="center"/>
          </w:tcPr>
          <w:p>
            <w:pPr>
              <w:pStyle w:val="TableContents"/>
              <w:bidi w:val="0"/>
              <w:spacing w:before="0" w:after="283"/>
              <w:jc w:val="center"/>
              <w:rPr>
                <w:b/>
              </w:rPr>
            </w:pPr>
            <w:r>
              <w:rPr>
                <w:b/>
              </w:rPr>
              <w:t>Nine Months Ended</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3.58% - 3.91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1.9% - 3.01</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5.52-6.27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6.02-6.27  </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75.0</w:t>
            </w:r>
          </w:p>
        </w:tc>
        <w:tc>
          <w:tcPr>
            <w:tcW w:w="27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79.1</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27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Merger, (i) warrants to purchase 17,314 shares of Serve’s common stock issued and outstanding immediately prior to the closing of the Merger were assumed and converted into warrants to purchase 13,911 shares of Patricia’s common stock, and (ii) warrants to purchase 160,323 shares of Serve’s Series Seed preferred stock issued and outstanding immediately prior to the closing of the Merger were assumed and converted into warrants to purchase 128,819 shares of Patricia’s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Notes (see Note 6), the Company granted each holder warrants to purchase common stock equal to 50% of the number of shares of common stock into which the loan is convertible into at an exercise price of $3.20 per share. Furthermore, the Company granted warrants to the Bridge Brokers equal to 8% of the number of shares of common stock into which April Notes, other than those purchased by insider investors, would convert at the closing of the Merger, with an exercise price of $3.20 per share. As the issuance of the warrants noted above were contingent on the closing of the Merger, they were not considered granted until July 31, 2023. Upon the closing of the Merger, the Company issued 468,971 warrants to the holders of the April Notes and 74,662 warrants to the Bridge Brokers. The Company calculated the fair value of the warrants using a Black-Scholes pricing model. The Company valued the warrants using a common stock fair value of $4.00, exercise price of $3.20 per share, a term of three years, a volatility of 75% and a risk-free interest rate of 4.18%. The Company allocated the debt proceeds on a relative fair value basis between the note and warrant for shares issued to April Note holders and a discount for the Bridge Brokers, resulting in a note discount totaling $991,000. This was immediately recognized in interest expense as of the note conversion date on July 31, 2023. As of September 30, 2023, all of the warrants were outstanding and were immediately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as of September 30, 2023, the Company granted an additional 392,927 warrants to purchase common stock to the placement agents. Of these, 142,927 warrants had an exercise price of $4.00 per share and 250,000 warrants had an exercise price of $0.001 per share. The warrants are immediately exercisable. These warrants were considered a cost of the offering and had no impact on the financial statements as the offering costs both reduced and added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there were an aggregate of 1,079,290 warrants to purchase common stock outstanding with a weighted-average exercise price of $2.66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Classification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was classified in the statements of operations as follows:</w:t>
      </w:r>
    </w:p>
    <w:p>
      <w:pPr>
        <w:pStyle w:val="TextBody"/>
        <w:bidi w:val="0"/>
        <w:spacing w:before="0" w:after="0"/>
        <w:ind w:left="0" w:right="0" w:firstLine="360"/>
        <w:jc w:val="both"/>
        <w:rPr>
          <w:caps w:val="false"/>
          <w:smallCaps w:val="false"/>
        </w:rPr>
      </w:pPr>
      <w:r>
        <w:rPr>
          <w:caps w:val="false"/>
          <w:smallCaps w:val="false"/>
        </w:rPr>
        <w:t> </w:t>
      </w:r>
    </w:p>
    <w:tbl>
      <w:tblPr>
        <w:tblW w:w="4794" w:type="dxa"/>
        <w:jc w:val="left"/>
        <w:tblInd w:w="0" w:type="dxa"/>
        <w:tblLayout w:type="fixed"/>
        <w:tblCellMar>
          <w:top w:w="0" w:type="dxa"/>
          <w:left w:w="0" w:type="dxa"/>
          <w:bottom w:w="0" w:type="dxa"/>
          <w:right w:w="0" w:type="dxa"/>
        </w:tblCellMar>
      </w:tblPr>
      <w:tblGrid>
        <w:gridCol w:w="2585"/>
        <w:gridCol w:w="60"/>
        <w:gridCol w:w="145"/>
        <w:gridCol w:w="830"/>
        <w:gridCol w:w="62"/>
        <w:gridCol w:w="62"/>
        <w:gridCol w:w="145"/>
        <w:gridCol w:w="830"/>
        <w:gridCol w:w="75"/>
      </w:tblGrid>
      <w:tr>
        <w:trPr/>
        <w:tc>
          <w:tcPr>
            <w:tcW w:w="25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74" w:type="dxa"/>
            <w:gridSpan w:val="6"/>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33,239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12,527</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Operations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27,902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7,662</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232,182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91,552</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10,933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2,065</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304,256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113,806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COMMITMENTS AND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 – Right of Use Asset and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costs are as follows:</w:t>
      </w:r>
    </w:p>
    <w:p>
      <w:pPr>
        <w:pStyle w:val="TextBody"/>
        <w:bidi w:val="0"/>
        <w:spacing w:before="0" w:after="0"/>
        <w:ind w:left="0" w:right="0" w:hanging="0"/>
        <w:jc w:val="both"/>
        <w:rPr>
          <w:caps w:val="false"/>
          <w:smallCaps w:val="false"/>
        </w:rPr>
      </w:pPr>
      <w:r>
        <w:rPr>
          <w:caps w:val="false"/>
          <w:smallCaps w:val="false"/>
        </w:rPr>
        <w:t> </w:t>
      </w:r>
    </w:p>
    <w:tbl>
      <w:tblPr>
        <w:tblW w:w="6419" w:type="dxa"/>
        <w:jc w:val="left"/>
        <w:tblInd w:w="0" w:type="dxa"/>
        <w:tblLayout w:type="fixed"/>
        <w:tblCellMar>
          <w:top w:w="0" w:type="dxa"/>
          <w:left w:w="0" w:type="dxa"/>
          <w:bottom w:w="0" w:type="dxa"/>
          <w:right w:w="0" w:type="dxa"/>
        </w:tblCellMar>
      </w:tblPr>
      <w:tblGrid>
        <w:gridCol w:w="1580"/>
        <w:gridCol w:w="60"/>
        <w:gridCol w:w="2570"/>
        <w:gridCol w:w="60"/>
        <w:gridCol w:w="145"/>
        <w:gridCol w:w="830"/>
        <w:gridCol w:w="62"/>
        <w:gridCol w:w="62"/>
        <w:gridCol w:w="145"/>
        <w:gridCol w:w="830"/>
        <w:gridCol w:w="75"/>
      </w:tblGrid>
      <w:tr>
        <w:trPr/>
        <w:tc>
          <w:tcPr>
            <w:tcW w:w="158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74" w:type="dxa"/>
            <w:gridSpan w:val="6"/>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ind w:left="0" w:right="0" w:hanging="180"/>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b/>
              </w:rPr>
            </w:pPr>
            <w:r>
              <w:rPr>
                <w:b/>
              </w:rPr>
              <w:t>Financial Statement</w:t>
            </w:r>
          </w:p>
        </w:tc>
        <w:tc>
          <w:tcPr>
            <w:tcW w:w="60" w:type="dxa"/>
            <w:tcBorders/>
            <w:vAlign w:val="center"/>
          </w:tcPr>
          <w:p>
            <w:pPr>
              <w:pStyle w:val="TableContents"/>
              <w:bidi w:val="0"/>
              <w:spacing w:before="0" w:after="283"/>
              <w:jc w:val="left"/>
              <w:rPr/>
            </w:pPr>
            <w:r>
              <w:rPr/>
              <w:t> </w:t>
            </w:r>
          </w:p>
        </w:tc>
        <w:tc>
          <w:tcPr>
            <w:tcW w:w="20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ind w:left="0" w:right="0" w:hanging="180"/>
              <w:jc w:val="left"/>
              <w:rPr/>
            </w:pPr>
            <w:r>
              <w:rPr/>
              <w:t> </w:t>
            </w:r>
          </w:p>
        </w:tc>
      </w:tr>
      <w:tr>
        <w:trPr/>
        <w:tc>
          <w:tcPr>
            <w:tcW w:w="1580" w:type="dxa"/>
            <w:tcBorders>
              <w:bottom w:val="single" w:sz="12" w:space="0" w:color="000000"/>
            </w:tcBorders>
            <w:tcMar>
              <w:bottom w:w="28" w:type="dxa"/>
            </w:tcMar>
            <w:vAlign w:val="center"/>
          </w:tcPr>
          <w:p>
            <w:pPr>
              <w:pStyle w:val="TableContents"/>
              <w:bidi w:val="0"/>
              <w:spacing w:before="0" w:after="283"/>
              <w:jc w:val="left"/>
              <w:rPr>
                <w:b/>
              </w:rPr>
            </w:pPr>
            <w:r>
              <w:rPr>
                <w:b/>
              </w:rPr>
              <w:t>Type</w:t>
            </w:r>
          </w:p>
        </w:tc>
        <w:tc>
          <w:tcPr>
            <w:tcW w:w="60" w:type="dxa"/>
            <w:tcBorders/>
            <w:vAlign w:val="center"/>
          </w:tcPr>
          <w:p>
            <w:pPr>
              <w:pStyle w:val="TableContents"/>
              <w:bidi w:val="0"/>
              <w:spacing w:before="0" w:after="283"/>
              <w:jc w:val="left"/>
              <w:rPr/>
            </w:pPr>
            <w:r>
              <w:rPr/>
              <w:t> </w:t>
            </w:r>
          </w:p>
        </w:tc>
        <w:tc>
          <w:tcPr>
            <w:tcW w:w="2570" w:type="dxa"/>
            <w:tcBorders>
              <w:bottom w:val="single" w:sz="12" w:space="0" w:color="000000"/>
            </w:tcBorders>
            <w:tcMar>
              <w:bottom w:w="28" w:type="dxa"/>
            </w:tcMar>
            <w:vAlign w:val="center"/>
          </w:tcPr>
          <w:p>
            <w:pPr>
              <w:pStyle w:val="TableContents"/>
              <w:bidi w:val="0"/>
              <w:spacing w:before="0" w:after="283"/>
              <w:jc w:val="center"/>
              <w:rPr>
                <w:b/>
              </w:rPr>
            </w:pPr>
            <w:r>
              <w:rPr>
                <w:b/>
              </w:rPr>
              <w:t>Line Item</w:t>
            </w:r>
          </w:p>
        </w:tc>
        <w:tc>
          <w:tcPr>
            <w:tcW w:w="60" w:type="dxa"/>
            <w:tcBorders/>
            <w:vAlign w:val="center"/>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275,544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304,864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80" w:type="dxa"/>
            <w:tcBorders/>
            <w:shd w:fill="FFFFFF" w:val="clear"/>
            <w:vAlign w:val="center"/>
          </w:tcPr>
          <w:p>
            <w:pPr>
              <w:pStyle w:val="TableContents"/>
              <w:bidi w:val="0"/>
              <w:spacing w:before="0" w:after="283"/>
              <w:jc w:val="left"/>
              <w:rPr/>
            </w:pPr>
            <w:r>
              <w:rPr/>
              <w:t>Operating lease</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center"/>
              <w:rPr/>
            </w:pPr>
            <w:r>
              <w:rPr/>
              <w:t>Operations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326,462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102,242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154,564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97,954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80" w:type="dxa"/>
            <w:tcBorders/>
            <w:shd w:fill="FFFFFF" w:val="clear"/>
            <w:vAlign w:val="center"/>
          </w:tcPr>
          <w:p>
            <w:pPr>
              <w:pStyle w:val="TableContents"/>
              <w:bidi w:val="0"/>
              <w:spacing w:before="0" w:after="283"/>
              <w:jc w:val="left"/>
              <w:rPr/>
            </w:pPr>
            <w:r>
              <w:rPr/>
              <w:t>Total lease costs</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756,570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505,060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F-40</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785"/>
        <w:gridCol w:w="60"/>
        <w:gridCol w:w="140"/>
        <w:gridCol w:w="800"/>
        <w:gridCol w:w="60"/>
        <w:gridCol w:w="60"/>
        <w:gridCol w:w="140"/>
        <w:gridCol w:w="920"/>
        <w:gridCol w:w="75"/>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gridSpan w:val="6"/>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283"/>
              <w:jc w:val="left"/>
              <w:rPr/>
            </w:pPr>
            <w:r>
              <w:rPr/>
              <w:t>Operating cash flows paid for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411,393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252,997</w:t>
            </w:r>
          </w:p>
        </w:tc>
        <w:tc>
          <w:tcPr>
            <w:tcW w:w="75" w:type="dxa"/>
            <w:tcBorders/>
            <w:shd w:fill="CCEEFF" w:val="cle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283"/>
              <w:jc w:val="left"/>
              <w:rPr/>
            </w:pPr>
            <w:r>
              <w:rPr/>
              <w:t>Right-of-use assets obtained in exchange for operating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20" w:type="dxa"/>
            <w:tcBorders/>
            <w:shd w:fill="FFFFFF" w:val="clear"/>
            <w:vAlign w:val="center"/>
          </w:tcPr>
          <w:p>
            <w:pPr>
              <w:pStyle w:val="TableContents"/>
              <w:bidi w:val="0"/>
              <w:spacing w:before="0" w:after="283"/>
              <w:jc w:val="right"/>
              <w:rPr/>
            </w:pPr>
            <w:r>
              <w:rPr/>
              <w:t>1535,230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leases are as follows:</w:t>
      </w:r>
    </w:p>
    <w:p>
      <w:pPr>
        <w:pStyle w:val="TextBody"/>
        <w:bidi w:val="0"/>
        <w:spacing w:before="0" w:after="0"/>
        <w:ind w:left="0" w:right="0" w:hanging="0"/>
        <w:jc w:val="both"/>
        <w:rPr>
          <w:caps w:val="false"/>
          <w:smallCaps w:val="false"/>
        </w:rPr>
      </w:pPr>
      <w:r>
        <w:rPr>
          <w:caps w:val="false"/>
          <w:smallCaps w:val="false"/>
        </w:rPr>
        <w:t> </w:t>
      </w:r>
    </w:p>
    <w:tbl>
      <w:tblPr>
        <w:tblW w:w="8168" w:type="dxa"/>
        <w:jc w:val="left"/>
        <w:tblInd w:w="0" w:type="dxa"/>
        <w:tblLayout w:type="fixed"/>
        <w:tblCellMar>
          <w:top w:w="0" w:type="dxa"/>
          <w:left w:w="0" w:type="dxa"/>
          <w:bottom w:w="0" w:type="dxa"/>
          <w:right w:w="0" w:type="dxa"/>
        </w:tblCellMar>
      </w:tblPr>
      <w:tblGrid>
        <w:gridCol w:w="4715"/>
        <w:gridCol w:w="60"/>
        <w:gridCol w:w="176"/>
        <w:gridCol w:w="1298"/>
        <w:gridCol w:w="215"/>
        <w:gridCol w:w="60"/>
        <w:gridCol w:w="169"/>
        <w:gridCol w:w="1245"/>
        <w:gridCol w:w="23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1.55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2.30</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7.25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7.25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Lease – Failed Sales-Leaseback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entered into a lease agreement with Farnam Capital for its next-generation of robot assets. As per ASC 842-40-25-1, the transaction was considered a failed sales-leaseback and therefore the lease was accounted for as a financing agreement. In total, the Company received proceeds of $3,561,288 related to robot assets constructed with the same value that are held as collateral. The agreement calls for monthly payments through October 31, 2024 of $189,262 and required a security deposit of $378,524. During the nine months ended September 30, 2023, the Company made repayments totaling $1,658,359. The outstanding liability at September 30, 2023 was $2,418,969. The Company has the option to purchase the assets at the end of the lease for 40% of the original equipment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the company entered into a strategic supply agreement with a manufacturer of component parts used for the Company’s robot assets. The agreement calls for a minimum of $2.3 million in purchases over a two-year period ending December 2023. At the end of the two-year period, the vendor may invoice the Company for any shortfall in orders.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minimum spend agreements related to simulation software and storage services. The purchase commitments extend for a period of two to three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subject to pending legal proceedings and regulatory actions in the ordinary course of business. The results of such proceedings cannot be predicted with certainty, but the Company does not anticipate that the final outcome arising out of any such matters will have a material adverse effect on its business,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the Company completed a subsequent closing of the Private Placement and issued 143,531 shares of common stock for gross proceeds of $547,127, or $4.00 per share. The Company received $529,127 in net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November 14, 2023, the date the condensed financial statements were available to be issued. Based on this evaluation, no material events were identified which require adjustment or disclosure in these condensed financial statements.</w:t>
      </w:r>
    </w:p>
    <w:p>
      <w:pPr>
        <w:pStyle w:val="TextBody"/>
        <w:bidi w:val="0"/>
        <w:spacing w:before="0" w:after="0"/>
        <w:ind w:left="0" w:right="0" w:firstLine="36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F-41</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Serve Robotics Inc. and Patricia Acquisition Corp.</w:t>
      </w:r>
    </w:p>
    <w:p>
      <w:pPr>
        <w:pStyle w:val="TextBody"/>
        <w:bidi w:val="0"/>
        <w:jc w:val="center"/>
        <w:rPr/>
      </w:pPr>
      <w:r>
        <w:rPr/>
        <w:t> </w:t>
      </w:r>
    </w:p>
    <w:tbl>
      <w:tblPr>
        <w:tblW w:w="6415" w:type="dxa"/>
        <w:jc w:val="left"/>
        <w:tblInd w:w="0" w:type="dxa"/>
        <w:tblLayout w:type="fixed"/>
        <w:tblCellMar>
          <w:top w:w="0" w:type="dxa"/>
          <w:left w:w="0" w:type="dxa"/>
          <w:bottom w:w="0" w:type="dxa"/>
          <w:right w:w="0" w:type="dxa"/>
        </w:tblCellMar>
      </w:tblPr>
      <w:tblGrid>
        <w:gridCol w:w="5900"/>
        <w:gridCol w:w="60"/>
        <w:gridCol w:w="455"/>
      </w:tblGrid>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5900" w:type="dxa"/>
            <w:tcBorders/>
            <w:shd w:fill="CCEEFF" w:val="clear"/>
            <w:vAlign w:val="center"/>
          </w:tcPr>
          <w:p>
            <w:pPr>
              <w:pStyle w:val="TableContents"/>
              <w:bidi w:val="0"/>
              <w:spacing w:before="0" w:after="283"/>
              <w:jc w:val="left"/>
              <w:rPr/>
            </w:pPr>
            <w:hyperlink w:anchor="c_001">
              <w:r>
                <w:rPr>
                  <w:rStyle w:val="InternetLink"/>
                  <w:sz w:val="20"/>
                </w:rPr>
                <w:t>Unaudited Pro Forma Combined Financial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F-43</w:t>
            </w:r>
          </w:p>
        </w:tc>
      </w:tr>
      <w:tr>
        <w:trPr/>
        <w:tc>
          <w:tcPr>
            <w:tcW w:w="5900" w:type="dxa"/>
            <w:tcBorders/>
            <w:shd w:fill="FFFFFF" w:val="clear"/>
            <w:vAlign w:val="center"/>
          </w:tcPr>
          <w:p>
            <w:pPr>
              <w:pStyle w:val="TableContents"/>
              <w:bidi w:val="0"/>
              <w:spacing w:before="0" w:after="283"/>
              <w:jc w:val="left"/>
              <w:rPr/>
            </w:pPr>
            <w:hyperlink w:anchor="c_003">
              <w:r>
                <w:rPr>
                  <w:rStyle w:val="InternetLink"/>
                  <w:sz w:val="20"/>
                </w:rPr>
                <w:t>Statement of Operations for the Nine Months Ended September 30, 2023</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F-44</w:t>
            </w:r>
          </w:p>
        </w:tc>
      </w:tr>
      <w:tr>
        <w:trPr/>
        <w:tc>
          <w:tcPr>
            <w:tcW w:w="5900" w:type="dxa"/>
            <w:tcBorders/>
            <w:shd w:fill="CCEEFF" w:val="clear"/>
            <w:vAlign w:val="center"/>
          </w:tcPr>
          <w:p>
            <w:pPr>
              <w:pStyle w:val="TableContents"/>
              <w:bidi w:val="0"/>
              <w:spacing w:before="0" w:after="283"/>
              <w:jc w:val="left"/>
              <w:rPr/>
            </w:pPr>
            <w:hyperlink w:anchor="c_004">
              <w:r>
                <w:rPr>
                  <w:rStyle w:val="InternetLink"/>
                  <w:sz w:val="20"/>
                </w:rPr>
                <w:t>Statement of Operations for the Year Ended December 31, 2022</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F-45</w:t>
            </w:r>
          </w:p>
        </w:tc>
      </w:tr>
      <w:tr>
        <w:trPr/>
        <w:tc>
          <w:tcPr>
            <w:tcW w:w="5900" w:type="dxa"/>
            <w:tcBorders/>
            <w:shd w:fill="FFFFFF" w:val="clear"/>
            <w:vAlign w:val="center"/>
          </w:tcPr>
          <w:p>
            <w:pPr>
              <w:pStyle w:val="TableContents"/>
              <w:bidi w:val="0"/>
              <w:spacing w:before="0" w:after="283"/>
              <w:jc w:val="left"/>
              <w:rPr/>
            </w:pPr>
            <w:hyperlink w:anchor="c_005">
              <w:r>
                <w:rPr>
                  <w:rStyle w:val="InternetLink"/>
                  <w:sz w:val="20"/>
                </w:rPr>
                <w:t>Notes to Unaudited Pro Forma Financial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F-46</w:t>
            </w:r>
          </w:p>
        </w:tc>
      </w:tr>
    </w:tbl>
    <w:p>
      <w:pPr>
        <w:pStyle w:val="TextBody"/>
        <w:bidi w:val="0"/>
        <w:jc w:val="righ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F-42</w:t>
      </w:r>
    </w:p>
    <w:p>
      <w:pPr>
        <w:pStyle w:val="TextBody"/>
        <w:bidi w:val="0"/>
        <w:spacing w:before="0" w:after="0"/>
        <w:ind w:left="0" w:right="0" w:hanging="0"/>
        <w:jc w:val="left"/>
        <w:rPr/>
      </w:pPr>
      <w:r>
        <w:rPr/>
        <w:t> </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c_001"/>
      <w:bookmarkEnd w:id="39"/>
      <w:r>
        <w:rPr>
          <w:rFonts w:ascii="Times New Roman;Times;Serif" w:hAnsi="Times New Roman;Times;Serif"/>
          <w:b/>
          <w:i w:val="false"/>
          <w:caps w:val="false"/>
          <w:smallCaps w:val="false"/>
          <w:sz w:val="20"/>
        </w:rPr>
        <w:t>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Patricia Acquisition Corp. (“Patricia”) in the State of Delaware on November 9, 2020. Prior to the Merger (as defined below), we were a “shell company” (as defined in Rule 12b-2 under the Securities Exchange Act of 1934, as amended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our board of directors and all of our pre-Merger stockholders approved a restated certificate of incorporation, which was effective upon its filing with the Secretary of State of the State of Delaware on July 31, 2023, and through which we changed our name to “Serve Robotics Inc.” On July 31, 2023, our board of directors also adopted restated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our wholly-owned subsidiary, Serve Acquisition Corp., a corporation formed in the State of Delaware on July 10, 2023 (“Acquisition Sub”), merged with and into Serve Robotics Inc., a privately held Delaware corporation (“Serve”). Pursuant to this transaction (the “Merger”), Serve was the surviving corporation and became our wholly owned subsidiary, and all of the outstanding stock of Serve was converted into shares of our common stock. All of Serve’s outstanding warrants, options and stock appreciation rights were assumed by us. Following the consummation of the Merger, Serve changed its name to “Serve Operating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acquired the business of Serve and will continue the existing business operations of Serve as a public reporting company under the name Serve Robotics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is being accounted for as a reverse-merger and recapitalization. Serve is the acquirer for financial reporting purposes, and Patricia is the acquired company under the acquisition method of accounting in accordance with FASB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Consequently, the assets, liabilities and operations that will be reflected in the historical financial statements prior to the Merger will be those of Serve and will be recorded at the historical cost basis of Serve, and the consolidated financial statements after completion of the Merger will include the assets, liabilities and results of operations of Serve up to the day prior to the closing of the Merger and the assets, liabilities and results of operations of the combined company from and after the closing date of the Merger. The unaudited pro forma combined financial information is based on individual historical financial statements of Serve and Patricia prepared under U.S. GAAP and is adjusted to give effect to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balance sheet as of September 30, 2023 already gives effect to the Merger that occurred on July 31, 2023, including the assets and liabilities of Serve and Patricia and the post-merger capitalization of the combined companies. Therefore, a separate pro forma combined balance sheet as of September 30, 2023 is not presented herein. The unaudited pro forma combined statements of operations for the nine months ended September 30, 2023 give effect to the Merger as if it had been consummated on January 1, 2023 and include all necessary transaction accounting adjustments, including those that are not expected to have a continuing impact. The unaudited pro forma combined statements of operations for the year ended December 31, 2022 give effect to the Merger as if it had been consummated on January 1, 2022 and include all necessary transaction accounting adjustments, including those that are not expected to have a continuing impact. The notes to the unaudited pro forma combined financial information describe the pro forma amounts and adjustments presented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purport to represent what the combined company’s results of operations and comprehensive loss or financial position would actually have been had the Merger occurred on the dates described above or to project the combined company’s results of operations or financial position for any future date 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should be read together with (1) Serve’s audited consolidated financial statements as of and for the year ended December 31, 2022, (2) Patricia’s audited financial statements as of and for the year ended December 31, 2022, (3) Serve’s unaudited consolidated financial statements as of and for the nine months ended September 30, 2023, and (4) Patricia’s unaudited consolidated financial statements as of and for the six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c_003"/>
      <w:bookmarkEnd w:id="40"/>
      <w:r>
        <w:rPr>
          <w:rFonts w:ascii="Times New Roman;Times;Serif" w:hAnsi="Times New Roman;Times;Serif"/>
          <w:b/>
          <w:i w:val="false"/>
          <w:caps w:val="false"/>
          <w:smallCaps w:val="false"/>
          <w:sz w:val="20"/>
        </w:rPr>
        <w:t>Serve Robotics, Inc. and 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Combined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September 30, 2023</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5"/>
        <w:gridCol w:w="60"/>
        <w:gridCol w:w="140"/>
        <w:gridCol w:w="1175"/>
        <w:gridCol w:w="95"/>
        <w:gridCol w:w="60"/>
        <w:gridCol w:w="140"/>
        <w:gridCol w:w="980"/>
        <w:gridCol w:w="95"/>
        <w:gridCol w:w="60"/>
        <w:gridCol w:w="163"/>
        <w:gridCol w:w="1147"/>
        <w:gridCol w:w="60"/>
        <w:gridCol w:w="60"/>
        <w:gridCol w:w="590"/>
        <w:gridCol w:w="60"/>
        <w:gridCol w:w="140"/>
        <w:gridCol w:w="1175"/>
        <w:gridCol w:w="110"/>
      </w:tblGrid>
      <w:tr>
        <w:trPr/>
        <w:tc>
          <w:tcPr>
            <w:tcW w:w="389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Serve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283"/>
              <w:jc w:val="center"/>
              <w:rPr>
                <w:b/>
              </w:rPr>
            </w:pPr>
            <w:r>
              <w:rPr>
                <w:b/>
              </w:rPr>
              <w:t>Pro Forma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Combined</w:t>
            </w:r>
          </w:p>
        </w:tc>
        <w:tc>
          <w:tcPr>
            <w:tcW w:w="110" w:type="dxa"/>
            <w:tcBorders/>
            <w:vAlign w:val="center"/>
          </w:tcPr>
          <w:p>
            <w:pPr>
              <w:pStyle w:val="TableContents"/>
              <w:bidi w:val="0"/>
              <w:spacing w:before="0" w:after="283"/>
              <w:ind w:left="0" w:right="0" w:hanging="180"/>
              <w:jc w:val="center"/>
              <w:rPr/>
            </w:pPr>
            <w:r>
              <w:rPr/>
              <w:t> </w:t>
            </w:r>
          </w:p>
        </w:tc>
      </w:tr>
      <w:tr>
        <w:trPr/>
        <w:tc>
          <w:tcPr>
            <w:tcW w:w="3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Robotics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Patricia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r>
          </w:p>
        </w:tc>
        <w:tc>
          <w:tcPr>
            <w:tcW w:w="110" w:type="dxa"/>
            <w:tcBorders/>
            <w:vAlign w:val="center"/>
          </w:tcPr>
          <w:p>
            <w:pPr>
              <w:pStyle w:val="TableContents"/>
              <w:bidi w:val="0"/>
              <w:spacing w:before="0" w:after="283"/>
              <w:ind w:left="0" w:right="0" w:hanging="180"/>
              <w:jc w:val="center"/>
              <w:rPr/>
            </w:pPr>
            <w:r>
              <w:rPr/>
              <w:t> </w:t>
            </w:r>
          </w:p>
        </w:tc>
      </w:tr>
      <w:tr>
        <w:trPr/>
        <w:tc>
          <w:tcPr>
            <w:tcW w:w="3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164,826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164,826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1,331,165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1,331,165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(1,166,339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(1,166,339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3,414,949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3,444,503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1,672,403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7,171,446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7,171,446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481,511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481,511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12,740,309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12,769,863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(13,906,648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(29,554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(13,936,202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(2,021,996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(2,021,996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895"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149,000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Change in fair value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1,672,706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(3,843,702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1,821,706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(2,021,996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Income tax benefit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(17,750,350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(29,554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10" w:space="0" w:color="000000"/>
            </w:tcBorders>
            <w:shd w:fill="CCEEFF" w:val="clear"/>
            <w:tcMar>
              <w:bottom w:w="28" w:type="dxa"/>
            </w:tcMar>
            <w:vAlign w:val="center"/>
          </w:tcPr>
          <w:p>
            <w:pPr>
              <w:pStyle w:val="TableContents"/>
              <w:bidi w:val="0"/>
              <w:spacing w:before="0" w:after="283"/>
              <w:jc w:val="right"/>
              <w:rPr/>
            </w:pPr>
            <w:r>
              <w:rPr/>
              <w:t>1,821,706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(15,958,198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Weighted average common shares outstanding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10,674,991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24,855,533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95"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(0.64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c_004"/>
      <w:bookmarkEnd w:id="41"/>
      <w:r>
        <w:rPr>
          <w:rFonts w:ascii="Times New Roman;Times;Serif" w:hAnsi="Times New Roman;Times;Serif"/>
          <w:b/>
          <w:i w:val="false"/>
          <w:caps w:val="false"/>
          <w:smallCaps w:val="false"/>
          <w:sz w:val="20"/>
        </w:rPr>
        <w:t>Serve Robotics, Inc. and 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Combined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5"/>
        <w:gridCol w:w="60"/>
        <w:gridCol w:w="140"/>
        <w:gridCol w:w="1175"/>
        <w:gridCol w:w="95"/>
        <w:gridCol w:w="60"/>
        <w:gridCol w:w="140"/>
        <w:gridCol w:w="980"/>
        <w:gridCol w:w="95"/>
        <w:gridCol w:w="60"/>
        <w:gridCol w:w="195"/>
        <w:gridCol w:w="1115"/>
        <w:gridCol w:w="60"/>
        <w:gridCol w:w="60"/>
        <w:gridCol w:w="590"/>
        <w:gridCol w:w="60"/>
        <w:gridCol w:w="140"/>
        <w:gridCol w:w="1175"/>
        <w:gridCol w:w="110"/>
      </w:tblGrid>
      <w:tr>
        <w:trPr/>
        <w:tc>
          <w:tcPr>
            <w:tcW w:w="3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Pro Forma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Combined</w:t>
            </w:r>
          </w:p>
        </w:tc>
        <w:tc>
          <w:tcPr>
            <w:tcW w:w="110" w:type="dxa"/>
            <w:tcBorders/>
            <w:vAlign w:val="center"/>
          </w:tcPr>
          <w:p>
            <w:pPr>
              <w:pStyle w:val="TableContents"/>
              <w:bidi w:val="0"/>
              <w:spacing w:before="0" w:after="283"/>
              <w:jc w:val="left"/>
              <w:rPr/>
            </w:pPr>
            <w:r>
              <w:rPr/>
              <w:t> </w:t>
            </w:r>
          </w:p>
        </w:tc>
      </w:tr>
      <w:tr>
        <w:trPr/>
        <w:tc>
          <w:tcPr>
            <w:tcW w:w="3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Robotics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Patricia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r>
          </w:p>
        </w:tc>
        <w:tc>
          <w:tcPr>
            <w:tcW w:w="110" w:type="dxa"/>
            <w:tcBorders/>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107,819</w:t>
            </w:r>
          </w:p>
        </w:tc>
        <w:tc>
          <w:tcPr>
            <w:tcW w:w="110" w:type="dxa"/>
            <w:tcBorders/>
            <w:shd w:fill="CCEEFF" w:val="clear"/>
            <w:vAlign w:val="center"/>
          </w:tcPr>
          <w:p>
            <w:pPr>
              <w:pStyle w:val="TableContents"/>
              <w:bidi w:val="0"/>
              <w:spacing w:before="0" w:after="283"/>
              <w:jc w:val="left"/>
              <w:rPr/>
            </w:pPr>
            <w:r>
              <w:rPr/>
              <w:t> </w:t>
            </w:r>
          </w:p>
        </w:tc>
      </w:tr>
      <w:tr>
        <w:trPr/>
        <w:tc>
          <w:tcPr>
            <w:tcW w:w="3895" w:type="dxa"/>
            <w:tcBorders/>
            <w:shd w:fill="FFFFFF" w:val="clear"/>
            <w:vAlign w:val="center"/>
          </w:tcPr>
          <w:p>
            <w:pPr>
              <w:pStyle w:val="TableContents"/>
              <w:bidi w:val="0"/>
              <w:spacing w:before="0" w:after="283"/>
              <w:jc w:val="left"/>
              <w:rPr/>
            </w:pPr>
            <w:r>
              <w:rPr/>
              <w:t>Cost of net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1,148,426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1,148,426</w:t>
            </w:r>
          </w:p>
        </w:tc>
        <w:tc>
          <w:tcPr>
            <w:tcW w:w="110" w:type="dxa"/>
            <w:tcBorders/>
            <w:shd w:fill="FFFFFF" w:val="clear"/>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(1,040,607</w:t>
            </w:r>
          </w:p>
        </w:tc>
        <w:tc>
          <w:tcPr>
            <w:tcW w:w="110" w:type="dxa"/>
            <w:tcBorders/>
            <w:shd w:fill="CCEEFF" w:val="clear"/>
            <w:vAlign w:val="center"/>
          </w:tcPr>
          <w:p>
            <w:pPr>
              <w:pStyle w:val="TableContents"/>
              <w:bidi w:val="0"/>
              <w:spacing w:before="0" w:after="283"/>
              <w:jc w:val="left"/>
              <w:rPr/>
            </w:pPr>
            <w:r>
              <w:rPr/>
              <w:t>)</w:t>
            </w:r>
          </w:p>
        </w:tc>
      </w:tr>
      <w:tr>
        <w:trPr/>
        <w:tc>
          <w:tcPr>
            <w:tcW w:w="3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9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3,786,124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3,837,478</w:t>
            </w:r>
          </w:p>
        </w:tc>
        <w:tc>
          <w:tcPr>
            <w:tcW w:w="110" w:type="dxa"/>
            <w:tcBorders/>
            <w:shd w:fill="FFFFFF" w:val="clear"/>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2,035,063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2,035,063</w:t>
            </w:r>
          </w:p>
        </w:tc>
        <w:tc>
          <w:tcPr>
            <w:tcW w:w="110" w:type="dxa"/>
            <w:tcBorders/>
            <w:shd w:fill="CCEEFF" w:val="clear"/>
            <w:vAlign w:val="center"/>
          </w:tcPr>
          <w:p>
            <w:pPr>
              <w:pStyle w:val="TableContents"/>
              <w:bidi w:val="0"/>
              <w:spacing w:before="0" w:after="283"/>
              <w:jc w:val="left"/>
              <w:rPr/>
            </w:pPr>
            <w:r>
              <w:rPr/>
              <w:t> </w:t>
            </w:r>
          </w:p>
        </w:tc>
      </w:tr>
      <w:tr>
        <w:trPr/>
        <w:tc>
          <w:tcPr>
            <w:tcW w:w="389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13,565,765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13,565,765</w:t>
            </w:r>
          </w:p>
        </w:tc>
        <w:tc>
          <w:tcPr>
            <w:tcW w:w="110" w:type="dxa"/>
            <w:tcBorders/>
            <w:shd w:fill="FFFFFF" w:val="clear"/>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525,494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525,494</w:t>
            </w:r>
          </w:p>
        </w:tc>
        <w:tc>
          <w:tcPr>
            <w:tcW w:w="110" w:type="dxa"/>
            <w:tcBorders/>
            <w:shd w:fill="CCEEFF" w:val="clear"/>
            <w:vAlign w:val="center"/>
          </w:tcPr>
          <w:p>
            <w:pPr>
              <w:pStyle w:val="TableContents"/>
              <w:bidi w:val="0"/>
              <w:spacing w:before="0" w:after="283"/>
              <w:jc w:val="left"/>
              <w:rPr/>
            </w:pPr>
            <w:r>
              <w:rPr/>
              <w:t> </w:t>
            </w:r>
          </w:p>
        </w:tc>
      </w:tr>
      <w:tr>
        <w:trPr/>
        <w:tc>
          <w:tcPr>
            <w:tcW w:w="389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19,912,446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19,963,800</w:t>
            </w:r>
          </w:p>
        </w:tc>
        <w:tc>
          <w:tcPr>
            <w:tcW w:w="110" w:type="dxa"/>
            <w:tcBorders/>
            <w:shd w:fill="FFFFFF" w:val="clear"/>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9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(20,953,053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(21,004,407</w:t>
            </w:r>
          </w:p>
        </w:tc>
        <w:tc>
          <w:tcPr>
            <w:tcW w:w="110" w:type="dxa"/>
            <w:tcBorders/>
            <w:shd w:fill="FFFFFF" w:val="clear"/>
            <w:vAlign w:val="center"/>
          </w:tcPr>
          <w:p>
            <w:pPr>
              <w:pStyle w:val="TableContents"/>
              <w:bidi w:val="0"/>
              <w:spacing w:before="0" w:after="283"/>
              <w:jc w:val="left"/>
              <w:rPr/>
            </w:pPr>
            <w:r>
              <w:rPr/>
              <w:t>)</w:t>
            </w:r>
          </w:p>
        </w:tc>
      </w:tr>
      <w:tr>
        <w:trPr/>
        <w:tc>
          <w:tcPr>
            <w:tcW w:w="3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9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(636,330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(636,330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895" w:type="dxa"/>
            <w:tcBorders/>
            <w:shd w:fill="FFFFFF" w:val="clear"/>
            <w:vAlign w:val="center"/>
          </w:tcPr>
          <w:p>
            <w:pPr>
              <w:pStyle w:val="TableContents"/>
              <w:bidi w:val="0"/>
              <w:spacing w:before="0" w:after="283"/>
              <w:jc w:val="left"/>
              <w:rPr/>
            </w:pPr>
            <w:r>
              <w:rPr/>
              <w:t>Change in fair value of simple agreements for future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(265,744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265,744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(902,074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265,744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(636,330</w:t>
            </w:r>
          </w:p>
        </w:tc>
        <w:tc>
          <w:tcPr>
            <w:tcW w:w="110" w:type="dxa"/>
            <w:tcBorders/>
            <w:shd w:fill="CCEEFF" w:val="clear"/>
            <w:vAlign w:val="center"/>
          </w:tcPr>
          <w:p>
            <w:pPr>
              <w:pStyle w:val="TableContents"/>
              <w:bidi w:val="0"/>
              <w:spacing w:before="0" w:after="283"/>
              <w:jc w:val="left"/>
              <w:rPr/>
            </w:pPr>
            <w:r>
              <w:rPr/>
              <w:t>)</w:t>
            </w:r>
          </w:p>
        </w:tc>
      </w:tr>
      <w:tr>
        <w:trPr/>
        <w:tc>
          <w:tcPr>
            <w:tcW w:w="3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Income tax benefit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8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(21,855,127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(51,354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FFFFFF" w:val="clear"/>
            <w:tcMar>
              <w:bottom w:w="28" w:type="dxa"/>
            </w:tcMar>
            <w:vAlign w:val="center"/>
          </w:tcPr>
          <w:p>
            <w:pPr>
              <w:pStyle w:val="TableContents"/>
              <w:bidi w:val="0"/>
              <w:spacing w:before="0" w:after="283"/>
              <w:jc w:val="right"/>
              <w:rPr/>
            </w:pPr>
            <w:r>
              <w:rPr/>
              <w:t>265,744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(21,640,737</w:t>
            </w:r>
          </w:p>
        </w:tc>
        <w:tc>
          <w:tcPr>
            <w:tcW w:w="110" w:type="dxa"/>
            <w:tcBorders/>
            <w:shd w:fill="FFFFFF" w:val="clear"/>
            <w:vAlign w:val="center"/>
          </w:tcPr>
          <w:p>
            <w:pPr>
              <w:pStyle w:val="TableContents"/>
              <w:bidi w:val="0"/>
              <w:spacing w:before="0" w:after="283"/>
              <w:jc w:val="left"/>
              <w:rPr/>
            </w:pPr>
            <w:r>
              <w:rPr/>
              <w:t>)</w:t>
            </w:r>
          </w:p>
        </w:tc>
      </w:tr>
      <w:tr>
        <w:trPr/>
        <w:tc>
          <w:tcPr>
            <w:tcW w:w="3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95" w:type="dxa"/>
            <w:tcBorders/>
            <w:shd w:fill="FFFFFF" w:val="clear"/>
            <w:vAlign w:val="center"/>
          </w:tcPr>
          <w:p>
            <w:pPr>
              <w:pStyle w:val="TableContents"/>
              <w:bidi w:val="0"/>
              <w:spacing w:before="0" w:after="283"/>
              <w:jc w:val="left"/>
              <w:rPr/>
            </w:pPr>
            <w:r>
              <w:rPr/>
              <w:t>Weighted average common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0"/>
              <w:ind w:left="0" w:right="0" w:hanging="0"/>
              <w:jc w:val="right"/>
              <w:rPr/>
            </w:pPr>
            <w:r>
              <w:rPr/>
              <w:t>8,583,409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(i)</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24,716,866</w:t>
            </w:r>
          </w:p>
        </w:tc>
        <w:tc>
          <w:tcPr>
            <w:tcW w:w="110" w:type="dxa"/>
            <w:tcBorders/>
            <w:shd w:fill="FFFFFF" w:val="clear"/>
            <w:vAlign w:val="center"/>
          </w:tcPr>
          <w:p>
            <w:pPr>
              <w:pStyle w:val="TableContents"/>
              <w:bidi w:val="0"/>
              <w:spacing w:before="0" w:after="283"/>
              <w:jc w:val="left"/>
              <w:rPr/>
            </w:pPr>
            <w:r>
              <w:rPr/>
              <w:t> </w:t>
            </w:r>
          </w:p>
        </w:tc>
      </w:tr>
      <w:tr>
        <w:trPr/>
        <w:tc>
          <w:tcPr>
            <w:tcW w:w="3895"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(0.88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c_005"/>
      <w:bookmarkEnd w:id="42"/>
      <w:r>
        <w:rPr>
          <w:rFonts w:ascii="Times New Roman;Times;Serif" w:hAnsi="Times New Roman;Times;Serif"/>
          <w:b/>
          <w:i w:val="false"/>
          <w:caps w:val="false"/>
          <w:smallCaps w:val="false"/>
          <w:sz w:val="20"/>
        </w:rPr>
        <w:t>Serve Robotics, Inc. and 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Adjustments</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20"/>
              </w:rPr>
            </w:pPr>
            <w:r>
              <w:rPr>
                <w:sz w:val="20"/>
              </w:rPr>
              <w:t>a)</w:t>
            </w:r>
          </w:p>
        </w:tc>
        <w:tc>
          <w:tcPr>
            <w:tcW w:w="9998" w:type="dxa"/>
            <w:tcBorders/>
            <w:vAlign w:val="center"/>
          </w:tcPr>
          <w:p>
            <w:pPr>
              <w:pStyle w:val="TableContents"/>
              <w:bidi w:val="0"/>
              <w:spacing w:before="0" w:after="283"/>
              <w:jc w:val="both"/>
              <w:rPr>
                <w:sz w:val="20"/>
              </w:rPr>
            </w:pPr>
            <w:r>
              <w:rPr>
                <w:sz w:val="20"/>
              </w:rPr>
              <w:t>The unaudited pro forma combined statements of operations reflect an adjustment to reverse the change in fair value of simple agreements for future equity as if the SAFEs had converted at the beginning of each period, as well as the reversal of the change in the derivative liability pertaining to the Bridge Notes.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b)</w:t>
            </w:r>
          </w:p>
        </w:tc>
        <w:tc>
          <w:tcPr>
            <w:tcW w:w="10001" w:type="dxa"/>
            <w:tcBorders/>
            <w:vAlign w:val="center"/>
          </w:tcPr>
          <w:p>
            <w:pPr>
              <w:pStyle w:val="TableContents"/>
              <w:bidi w:val="0"/>
              <w:spacing w:before="0" w:after="283"/>
              <w:jc w:val="both"/>
              <w:rPr/>
            </w:pPr>
            <w:r>
              <w:rPr/>
              <w:t>Represents the pro forma shares of our common stock outstanding upon the Merger and the Private Placement. Refer below for a reconciliation of the historical and pro forma weighted average shares outstanding used in computing basic and diluted net loss per share: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36"/>
        <w:gridCol w:w="60"/>
        <w:gridCol w:w="92"/>
        <w:gridCol w:w="1705"/>
        <w:gridCol w:w="60"/>
        <w:gridCol w:w="60"/>
        <w:gridCol w:w="88"/>
        <w:gridCol w:w="1626"/>
        <w:gridCol w:w="78"/>
      </w:tblGrid>
      <w:tr>
        <w:trPr/>
        <w:tc>
          <w:tcPr>
            <w:tcW w:w="64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 2022</w:t>
            </w:r>
          </w:p>
        </w:tc>
        <w:tc>
          <w:tcPr>
            <w:tcW w:w="78" w:type="dxa"/>
            <w:tcBorders/>
            <w:vAlign w:val="center"/>
          </w:tcPr>
          <w:p>
            <w:pPr>
              <w:pStyle w:val="TableContents"/>
              <w:bidi w:val="0"/>
              <w:spacing w:before="0" w:after="283"/>
              <w:jc w:val="left"/>
              <w:rPr/>
            </w:pPr>
            <w:r>
              <w:rPr/>
              <w:t> </w:t>
            </w:r>
          </w:p>
        </w:tc>
      </w:tr>
      <w:tr>
        <w:trPr/>
        <w:tc>
          <w:tcPr>
            <w:tcW w:w="6436" w:type="dxa"/>
            <w:tcBorders/>
            <w:shd w:fill="CCEEFF" w:val="clear"/>
            <w:vAlign w:val="center"/>
          </w:tcPr>
          <w:p>
            <w:pPr>
              <w:pStyle w:val="TableContents"/>
              <w:bidi w:val="0"/>
              <w:spacing w:before="0" w:after="283"/>
              <w:jc w:val="left"/>
              <w:rPr/>
            </w:pPr>
            <w:r>
              <w:rPr/>
              <w:t>Weighted average common shares outstanding, basic and diluted – actual (pre-conversion)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pPr>
            <w:r>
              <w:rPr/>
              <w:t>8,577,356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6" w:type="dxa"/>
            <w:tcBorders/>
            <w:shd w:fill="CCEEFF" w:val="clear"/>
            <w:vAlign w:val="center"/>
          </w:tcPr>
          <w:p>
            <w:pPr>
              <w:pStyle w:val="TableContents"/>
              <w:bidi w:val="0"/>
              <w:spacing w:before="0" w:after="283"/>
              <w:jc w:val="right"/>
              <w:rPr/>
            </w:pPr>
            <w:r>
              <w:rPr/>
              <w:t>8,583,409</w:t>
            </w:r>
          </w:p>
        </w:tc>
        <w:tc>
          <w:tcPr>
            <w:tcW w:w="78" w:type="dxa"/>
            <w:tcBorders/>
            <w:shd w:fill="CCEEFF" w:val="cle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pPr>
            <w:r>
              <w:rPr/>
              <w:t>Common share conversion ratio per Merger</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5" w:type="dxa"/>
            <w:tcBorders>
              <w:bottom w:val="single" w:sz="12" w:space="0" w:color="000000"/>
            </w:tcBorders>
            <w:shd w:fill="FFFFFF" w:val="clear"/>
            <w:tcMar>
              <w:bottom w:w="28" w:type="dxa"/>
            </w:tcMar>
            <w:vAlign w:val="center"/>
          </w:tcPr>
          <w:p>
            <w:pPr>
              <w:pStyle w:val="TableContents"/>
              <w:bidi w:val="0"/>
              <w:spacing w:before="0" w:after="283"/>
              <w:jc w:val="right"/>
              <w:rPr/>
            </w:pPr>
            <w:r>
              <w:rPr/>
              <w:t>.80350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26" w:type="dxa"/>
            <w:tcBorders>
              <w:bottom w:val="single" w:sz="12" w:space="0" w:color="000000"/>
            </w:tcBorders>
            <w:shd w:fill="FFFFFF" w:val="clear"/>
            <w:tcMar>
              <w:bottom w:w="28" w:type="dxa"/>
            </w:tcMar>
            <w:vAlign w:val="center"/>
          </w:tcPr>
          <w:p>
            <w:pPr>
              <w:pStyle w:val="TableContents"/>
              <w:bidi w:val="0"/>
              <w:spacing w:before="0" w:after="283"/>
              <w:jc w:val="right"/>
              <w:rPr/>
            </w:pPr>
            <w:r>
              <w:rPr/>
              <w:t>.80350</w:t>
            </w:r>
          </w:p>
        </w:tc>
        <w:tc>
          <w:tcPr>
            <w:tcW w:w="78" w:type="dxa"/>
            <w:tcBorders/>
            <w:shd w:fill="FFFFFF" w:val="clear"/>
            <w:vAlign w:val="center"/>
          </w:tcPr>
          <w:p>
            <w:pPr>
              <w:pStyle w:val="TableContents"/>
              <w:bidi w:val="0"/>
              <w:spacing w:before="0" w:after="283"/>
              <w:jc w:val="left"/>
              <w:rPr/>
            </w:pPr>
            <w:r>
              <w:rPr/>
              <w:t> </w:t>
            </w:r>
          </w:p>
        </w:tc>
      </w:tr>
      <w:tr>
        <w:trPr/>
        <w:tc>
          <w:tcPr>
            <w:tcW w:w="64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pPr>
            <w:r>
              <w:rPr/>
              <w:t>6,891,905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6" w:type="dxa"/>
            <w:tcBorders/>
            <w:shd w:fill="CCEEFF" w:val="clear"/>
            <w:vAlign w:val="center"/>
          </w:tcPr>
          <w:p>
            <w:pPr>
              <w:pStyle w:val="TableContents"/>
              <w:bidi w:val="0"/>
              <w:spacing w:before="0" w:after="283"/>
              <w:jc w:val="right"/>
              <w:rPr/>
            </w:pPr>
            <w:r>
              <w:rPr/>
              <w:t>6,896,769</w:t>
            </w:r>
          </w:p>
        </w:tc>
        <w:tc>
          <w:tcPr>
            <w:tcW w:w="78" w:type="dxa"/>
            <w:tcBorders/>
            <w:shd w:fill="CCEEFF" w:val="cle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pPr>
            <w:r>
              <w:rPr/>
              <w:t>Conversion of preferred into common shares upon Merger</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pPr>
            <w:r>
              <w:rPr/>
              <w:t>7,969,383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right"/>
              <w:rPr/>
            </w:pPr>
            <w:r>
              <w:rPr/>
              <w:t>7,969,383</w:t>
            </w:r>
          </w:p>
        </w:tc>
        <w:tc>
          <w:tcPr>
            <w:tcW w:w="78" w:type="dxa"/>
            <w:tcBorders/>
            <w:shd w:fill="FFFFFF" w:val="clear"/>
            <w:vAlign w:val="center"/>
          </w:tcPr>
          <w:p>
            <w:pPr>
              <w:pStyle w:val="TableContents"/>
              <w:bidi w:val="0"/>
              <w:spacing w:before="0" w:after="283"/>
              <w:jc w:val="left"/>
              <w:rPr/>
            </w:pPr>
            <w:r>
              <w:rPr/>
              <w:t> </w:t>
            </w:r>
          </w:p>
        </w:tc>
      </w:tr>
      <w:tr>
        <w:trPr/>
        <w:tc>
          <w:tcPr>
            <w:tcW w:w="6436" w:type="dxa"/>
            <w:tcBorders/>
            <w:shd w:fill="CCEEFF" w:val="clear"/>
            <w:vAlign w:val="center"/>
          </w:tcPr>
          <w:p>
            <w:pPr>
              <w:pStyle w:val="TableContents"/>
              <w:bidi w:val="0"/>
              <w:spacing w:before="0" w:after="283"/>
              <w:jc w:val="left"/>
              <w:rPr/>
            </w:pPr>
            <w:r>
              <w:rPr/>
              <w:t>Conversion of SAFEs into common shares upon Merger</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pPr>
            <w:r>
              <w:rPr/>
              <w:t>4,372,613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6" w:type="dxa"/>
            <w:tcBorders/>
            <w:shd w:fill="CCEEFF" w:val="clear"/>
            <w:vAlign w:val="center"/>
          </w:tcPr>
          <w:p>
            <w:pPr>
              <w:pStyle w:val="TableContents"/>
              <w:bidi w:val="0"/>
              <w:spacing w:before="0" w:after="283"/>
              <w:jc w:val="right"/>
              <w:rPr/>
            </w:pPr>
            <w:r>
              <w:rPr/>
              <w:t>4,372,613</w:t>
            </w:r>
          </w:p>
        </w:tc>
        <w:tc>
          <w:tcPr>
            <w:tcW w:w="78" w:type="dxa"/>
            <w:tcBorders/>
            <w:shd w:fill="CCEEFF" w:val="cle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pPr>
            <w:r>
              <w:rPr/>
              <w:t>Conversion of bridge notes into common shares upon Merger</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pPr>
            <w:r>
              <w:rPr/>
              <w:t>937,961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right"/>
              <w:rPr/>
            </w:pPr>
            <w:r>
              <w:rPr/>
              <w:t>937,961</w:t>
            </w:r>
          </w:p>
        </w:tc>
        <w:tc>
          <w:tcPr>
            <w:tcW w:w="78" w:type="dxa"/>
            <w:tcBorders/>
            <w:shd w:fill="FFFFFF" w:val="clear"/>
            <w:vAlign w:val="center"/>
          </w:tcPr>
          <w:p>
            <w:pPr>
              <w:pStyle w:val="TableContents"/>
              <w:bidi w:val="0"/>
              <w:spacing w:before="0" w:after="283"/>
              <w:jc w:val="left"/>
              <w:rPr/>
            </w:pPr>
            <w:r>
              <w:rPr/>
              <w:t> </w:t>
            </w:r>
          </w:p>
        </w:tc>
      </w:tr>
      <w:tr>
        <w:trPr/>
        <w:tc>
          <w:tcPr>
            <w:tcW w:w="6436" w:type="dxa"/>
            <w:tcBorders/>
            <w:shd w:fill="CCEEFF" w:val="clear"/>
            <w:vAlign w:val="center"/>
          </w:tcPr>
          <w:p>
            <w:pPr>
              <w:pStyle w:val="TableContents"/>
              <w:bidi w:val="0"/>
              <w:spacing w:before="0" w:after="283"/>
              <w:jc w:val="left"/>
              <w:rPr/>
            </w:pPr>
            <w:r>
              <w:rPr/>
              <w:t>Patricia's public stockholders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6" w:type="dxa"/>
            <w:tcBorders/>
            <w:shd w:fill="CCEEFF" w:val="clear"/>
            <w:vAlign w:val="center"/>
          </w:tcPr>
          <w:p>
            <w:pPr>
              <w:pStyle w:val="TableContents"/>
              <w:bidi w:val="0"/>
              <w:spacing w:before="0" w:after="283"/>
              <w:jc w:val="right"/>
              <w:rPr/>
            </w:pPr>
            <w:r>
              <w:rPr/>
              <w:t>1,500,000</w:t>
            </w:r>
          </w:p>
        </w:tc>
        <w:tc>
          <w:tcPr>
            <w:tcW w:w="78" w:type="dxa"/>
            <w:tcBorders/>
            <w:shd w:fill="CCEEFF" w:val="cle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pPr>
            <w:r>
              <w:rPr/>
              <w:t>Common shares issued upon Private Placement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5" w:type="dxa"/>
            <w:tcBorders>
              <w:bottom w:val="single" w:sz="12" w:space="0" w:color="000000"/>
            </w:tcBorders>
            <w:shd w:fill="FFFFFF" w:val="clear"/>
            <w:tcMar>
              <w:bottom w:w="28" w:type="dxa"/>
            </w:tcMar>
            <w:vAlign w:val="center"/>
          </w:tcPr>
          <w:p>
            <w:pPr>
              <w:pStyle w:val="TableContents"/>
              <w:bidi w:val="0"/>
              <w:spacing w:before="0" w:after="283"/>
              <w:jc w:val="right"/>
              <w:rPr/>
            </w:pPr>
            <w:r>
              <w:rPr/>
              <w:t>3,183,671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26" w:type="dxa"/>
            <w:tcBorders>
              <w:bottom w:val="single" w:sz="12" w:space="0" w:color="000000"/>
            </w:tcBorders>
            <w:shd w:fill="FFFFFF" w:val="clear"/>
            <w:tcMar>
              <w:bottom w:w="28" w:type="dxa"/>
            </w:tcMar>
            <w:vAlign w:val="center"/>
          </w:tcPr>
          <w:p>
            <w:pPr>
              <w:pStyle w:val="TableContents"/>
              <w:bidi w:val="0"/>
              <w:spacing w:before="0" w:after="283"/>
              <w:jc w:val="right"/>
              <w:rPr/>
            </w:pPr>
            <w:r>
              <w:rPr/>
              <w:t>3,183,671</w:t>
            </w:r>
          </w:p>
        </w:tc>
        <w:tc>
          <w:tcPr>
            <w:tcW w:w="78" w:type="dxa"/>
            <w:tcBorders/>
            <w:shd w:fill="FFFFFF" w:val="clear"/>
            <w:vAlign w:val="center"/>
          </w:tcPr>
          <w:p>
            <w:pPr>
              <w:pStyle w:val="TableContents"/>
              <w:bidi w:val="0"/>
              <w:spacing w:before="0" w:after="283"/>
              <w:jc w:val="left"/>
              <w:rPr/>
            </w:pPr>
            <w:r>
              <w:rPr/>
              <w:t> </w:t>
            </w:r>
          </w:p>
        </w:tc>
      </w:tr>
      <w:tr>
        <w:trPr/>
        <w:tc>
          <w:tcPr>
            <w:tcW w:w="6436" w:type="dxa"/>
            <w:tcBorders/>
            <w:shd w:fill="CCEEFF" w:val="clear"/>
            <w:vAlign w:val="center"/>
          </w:tcPr>
          <w:p>
            <w:pPr>
              <w:pStyle w:val="TableContents"/>
              <w:bidi w:val="0"/>
              <w:spacing w:before="0" w:after="283"/>
              <w:jc w:val="left"/>
              <w:rPr/>
            </w:pPr>
            <w:r>
              <w:rPr/>
              <w:t>Weighted average common shares outstanding, basic and diluted - pro forma</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05" w:type="dxa"/>
            <w:tcBorders>
              <w:bottom w:val="double" w:sz="10" w:space="0" w:color="000000"/>
            </w:tcBorders>
            <w:shd w:fill="CCEEFF" w:val="clear"/>
            <w:tcMar>
              <w:bottom w:w="28" w:type="dxa"/>
            </w:tcMar>
            <w:vAlign w:val="center"/>
          </w:tcPr>
          <w:p>
            <w:pPr>
              <w:pStyle w:val="TableContents"/>
              <w:bidi w:val="0"/>
              <w:spacing w:before="0" w:after="283"/>
              <w:jc w:val="right"/>
              <w:rPr/>
            </w:pPr>
            <w:r>
              <w:rPr/>
              <w:t>24,855,533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26" w:type="dxa"/>
            <w:tcBorders>
              <w:bottom w:val="double" w:sz="10" w:space="0" w:color="000000"/>
            </w:tcBorders>
            <w:shd w:fill="CCEEFF" w:val="clear"/>
            <w:tcMar>
              <w:bottom w:w="28" w:type="dxa"/>
            </w:tcMar>
            <w:vAlign w:val="center"/>
          </w:tcPr>
          <w:p>
            <w:pPr>
              <w:pStyle w:val="TableContents"/>
              <w:bidi w:val="0"/>
              <w:spacing w:before="0" w:after="283"/>
              <w:jc w:val="right"/>
              <w:rPr/>
            </w:pPr>
            <w:r>
              <w:rPr/>
              <w:t>24,860,397</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anti-dilutive items as of September 30, 2023 and December 31, 2022 include stock options and common and preferred stock warrants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PATRICIA ACQUISITION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3" w:name="d_001"/>
      <w:bookmarkEnd w:id="43"/>
      <w:r>
        <w:rPr>
          <w:rFonts w:ascii="Times New Roman;Times;Serif" w:hAnsi="Times New Roman;Times;Serif"/>
          <w:b w:val="false"/>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8440" w:type="dxa"/>
        <w:jc w:val="left"/>
        <w:tblInd w:w="0" w:type="dxa"/>
        <w:tblLayout w:type="fixed"/>
        <w:tblCellMar>
          <w:top w:w="0" w:type="dxa"/>
          <w:left w:w="0" w:type="dxa"/>
          <w:bottom w:w="28" w:type="dxa"/>
          <w:right w:w="0" w:type="dxa"/>
        </w:tblCellMar>
      </w:tblPr>
      <w:tblGrid>
        <w:gridCol w:w="7925"/>
        <w:gridCol w:w="60"/>
        <w:gridCol w:w="455"/>
      </w:tblGrid>
      <w:tr>
        <w:trPr/>
        <w:tc>
          <w:tcPr>
            <w:tcW w:w="792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Statement</w:t>
            </w:r>
          </w:p>
        </w:tc>
        <w:tc>
          <w:tcPr>
            <w:tcW w:w="6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7925" w:type="dxa"/>
            <w:tcBorders/>
            <w:shd w:fill="CCEEFF" w:val="clear"/>
            <w:tcMar>
              <w:bottom w:w="0" w:type="dxa"/>
            </w:tcMar>
            <w:vAlign w:val="center"/>
          </w:tcPr>
          <w:p>
            <w:pPr>
              <w:pStyle w:val="TableContents"/>
              <w:bidi w:val="0"/>
              <w:spacing w:before="0" w:after="283"/>
              <w:jc w:val="left"/>
              <w:rPr/>
            </w:pPr>
            <w:hyperlink w:anchor="d_001">
              <w:r>
                <w:rPr>
                  <w:rStyle w:val="InternetLink"/>
                  <w:rFonts w:ascii="Times New Roman;Times;Serif" w:hAnsi="Times New Roman;Times;Serif"/>
                  <w:sz w:val="20"/>
                </w:rPr>
                <w:t>Index to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F-47</w:t>
            </w:r>
          </w:p>
        </w:tc>
      </w:tr>
      <w:tr>
        <w:trPr/>
        <w:tc>
          <w:tcPr>
            <w:tcW w:w="7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7925" w:type="dxa"/>
            <w:tcBorders/>
            <w:shd w:fill="CCEEFF" w:val="clear"/>
            <w:tcMar>
              <w:bottom w:w="0" w:type="dxa"/>
            </w:tcMar>
            <w:vAlign w:val="center"/>
          </w:tcPr>
          <w:p>
            <w:pPr>
              <w:pStyle w:val="TableContents"/>
              <w:bidi w:val="0"/>
              <w:spacing w:before="0" w:after="283"/>
              <w:jc w:val="left"/>
              <w:rPr/>
            </w:pPr>
            <w:hyperlink w:anchor="d_002">
              <w:r>
                <w:rPr>
                  <w:rStyle w:val="InternetLink"/>
                  <w:rFonts w:ascii="Times New Roman;Times;Serif" w:hAnsi="Times New Roman;Times;Serif"/>
                  <w:sz w:val="20"/>
                </w:rPr>
                <w:t>Report of Independent Registered Public Accounting Firm</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F-48</w:t>
            </w:r>
          </w:p>
        </w:tc>
      </w:tr>
      <w:tr>
        <w:trPr/>
        <w:tc>
          <w:tcPr>
            <w:tcW w:w="7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7925" w:type="dxa"/>
            <w:tcBorders/>
            <w:shd w:fill="CCEEFF" w:val="clear"/>
            <w:tcMar>
              <w:bottom w:w="0" w:type="dxa"/>
            </w:tcMar>
            <w:vAlign w:val="center"/>
          </w:tcPr>
          <w:p>
            <w:pPr>
              <w:pStyle w:val="TableContents"/>
              <w:bidi w:val="0"/>
              <w:spacing w:before="0" w:after="283"/>
              <w:jc w:val="left"/>
              <w:rPr/>
            </w:pPr>
            <w:hyperlink w:anchor="d_003">
              <w:r>
                <w:rPr>
                  <w:rStyle w:val="InternetLink"/>
                  <w:rFonts w:ascii="Times New Roman;Times;Serif" w:hAnsi="Times New Roman;Times;Serif"/>
                  <w:sz w:val="20"/>
                </w:rPr>
                <w:t>Report of Independent Registered Public Accounting Firm</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F-49</w:t>
            </w:r>
          </w:p>
        </w:tc>
      </w:tr>
      <w:tr>
        <w:trPr/>
        <w:tc>
          <w:tcPr>
            <w:tcW w:w="7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7925" w:type="dxa"/>
            <w:tcBorders/>
            <w:shd w:fill="CCEEFF" w:val="clear"/>
            <w:tcMar>
              <w:bottom w:w="0" w:type="dxa"/>
            </w:tcMar>
            <w:vAlign w:val="center"/>
          </w:tcPr>
          <w:p>
            <w:pPr>
              <w:pStyle w:val="TableContents"/>
              <w:bidi w:val="0"/>
              <w:spacing w:before="0" w:after="283"/>
              <w:jc w:val="left"/>
              <w:rPr/>
            </w:pPr>
            <w:hyperlink w:anchor="d_004">
              <w:r>
                <w:rPr>
                  <w:rStyle w:val="InternetLink"/>
                  <w:rFonts w:ascii="Times New Roman;Times;Serif" w:hAnsi="Times New Roman;Times;Serif"/>
                  <w:sz w:val="20"/>
                </w:rPr>
                <w:t>Balance Sheets as of December 31, 2022 and 2021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F-50</w:t>
            </w:r>
          </w:p>
        </w:tc>
      </w:tr>
      <w:tr>
        <w:trPr/>
        <w:tc>
          <w:tcPr>
            <w:tcW w:w="7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7925" w:type="dxa"/>
            <w:tcBorders/>
            <w:shd w:fill="CCEEFF" w:val="clear"/>
            <w:tcMar>
              <w:bottom w:w="0" w:type="dxa"/>
            </w:tcMar>
            <w:vAlign w:val="center"/>
          </w:tcPr>
          <w:p>
            <w:pPr>
              <w:pStyle w:val="TableContents"/>
              <w:bidi w:val="0"/>
              <w:spacing w:before="0" w:after="283"/>
              <w:jc w:val="left"/>
              <w:rPr/>
            </w:pPr>
            <w:hyperlink w:anchor="d_005">
              <w:r>
                <w:rPr>
                  <w:rStyle w:val="InternetLink"/>
                  <w:rFonts w:ascii="Times New Roman;Times;Serif" w:hAnsi="Times New Roman;Times;Serif"/>
                  <w:sz w:val="20"/>
                </w:rPr>
                <w:t>Statements of Operations for the Years Ended December 31, 2022 and 2021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F-51</w:t>
            </w:r>
          </w:p>
        </w:tc>
      </w:tr>
      <w:tr>
        <w:trPr/>
        <w:tc>
          <w:tcPr>
            <w:tcW w:w="7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7925" w:type="dxa"/>
            <w:tcBorders/>
            <w:shd w:fill="CCEEFF" w:val="clear"/>
            <w:tcMar>
              <w:bottom w:w="0" w:type="dxa"/>
            </w:tcMar>
            <w:vAlign w:val="center"/>
          </w:tcPr>
          <w:p>
            <w:pPr>
              <w:pStyle w:val="TableContents"/>
              <w:bidi w:val="0"/>
              <w:spacing w:before="0" w:after="283"/>
              <w:jc w:val="left"/>
              <w:rPr/>
            </w:pPr>
            <w:hyperlink w:anchor="d_006">
              <w:r>
                <w:rPr>
                  <w:rStyle w:val="InternetLink"/>
                  <w:rFonts w:ascii="Times New Roman;Times;Serif" w:hAnsi="Times New Roman;Times;Serif"/>
                  <w:sz w:val="20"/>
                </w:rPr>
                <w:t>Statements of Changes in Stockholders’ Deficit for the Years Ended December 31, 2022 and 2021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F-52</w:t>
            </w:r>
          </w:p>
        </w:tc>
      </w:tr>
      <w:tr>
        <w:trPr/>
        <w:tc>
          <w:tcPr>
            <w:tcW w:w="7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7925" w:type="dxa"/>
            <w:tcBorders/>
            <w:shd w:fill="CCEEFF" w:val="clear"/>
            <w:tcMar>
              <w:bottom w:w="0" w:type="dxa"/>
            </w:tcMar>
            <w:vAlign w:val="center"/>
          </w:tcPr>
          <w:p>
            <w:pPr>
              <w:pStyle w:val="TableContents"/>
              <w:bidi w:val="0"/>
              <w:spacing w:before="0" w:after="283"/>
              <w:jc w:val="left"/>
              <w:rPr/>
            </w:pPr>
            <w:hyperlink w:anchor="d_007">
              <w:r>
                <w:rPr>
                  <w:rStyle w:val="InternetLink"/>
                  <w:rFonts w:ascii="Times New Roman;Times;Serif" w:hAnsi="Times New Roman;Times;Serif"/>
                  <w:sz w:val="20"/>
                </w:rPr>
                <w:t>Statements of Cash Flows for the Years Ended December 31, 2022 and 2021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F-53</w:t>
            </w:r>
          </w:p>
        </w:tc>
      </w:tr>
      <w:tr>
        <w:trPr/>
        <w:tc>
          <w:tcPr>
            <w:tcW w:w="7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7925" w:type="dxa"/>
            <w:tcBorders/>
            <w:shd w:fill="CCEEFF" w:val="clear"/>
            <w:tcMar>
              <w:bottom w:w="0" w:type="dxa"/>
            </w:tcMar>
            <w:vAlign w:val="center"/>
          </w:tcPr>
          <w:p>
            <w:pPr>
              <w:pStyle w:val="TableContents"/>
              <w:bidi w:val="0"/>
              <w:spacing w:before="0" w:after="283"/>
              <w:jc w:val="left"/>
              <w:rPr/>
            </w:pPr>
            <w:hyperlink w:anchor="d_008">
              <w:r>
                <w:rPr>
                  <w:rStyle w:val="InternetLink"/>
                  <w:rFonts w:ascii="Times New Roman;Times;Serif" w:hAnsi="Times New Roman;Times;Serif"/>
                  <w:sz w:val="20"/>
                </w:rPr>
                <w:t>Notes to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4" w:name="d_002"/>
      <w:bookmarkEnd w:id="44"/>
      <w:r>
        <w:rPr>
          <w:rFonts w:ascii="Times New Roman;Times;Serif" w:hAnsi="Times New Roman;Times;Serif"/>
          <w:b w:val="false"/>
          <w:i w:val="false"/>
          <w:caps w:val="false"/>
          <w:smallCaps w:val="false"/>
          <w:sz w:val="20"/>
        </w:rPr>
        <w:t>REPORT OF INDEPENDENT REGISTERED PUBLIC ACCOUNTING FIRM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Acquisition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Boca Raton,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Patricia Acquisition Corp. (the “Company”) as of December 31,2022, and the related statements of operations, changes in stockholders’ deficit, and cash flows for the year then ended, and the related notes (collectively referred to as the “financial statements”). In our opinion, the financial statements present fairly, in all material respects, the financial position of the Company as of December 31, 2022,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6 to the financial statements, the Company has incurred losses from inception, which raises substantial doubt about its ability to continue as a going concern. Management’s plans in regards to these matters are also described in Note 6.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GRASSI &amp; CO., CPAs,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PCAOB # 606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auditors since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5" w:name="d_003"/>
      <w:bookmarkEnd w:id="45"/>
      <w:r>
        <w:rPr>
          <w:rFonts w:ascii="Times New Roman;Times;Serif" w:hAnsi="Times New Roman;Times;Serif"/>
          <w:b w:val="false"/>
          <w:i w:val="false"/>
          <w:caps w:val="false"/>
          <w:smallCaps w:val="false"/>
          <w:sz w:val="20"/>
        </w:rPr>
        <w:t>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Acquisition Corp.</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Patricia Acquisition Corp. (the “Company”) as of December 31, 2021 and 2020, and the related statements of operations, changes in stockholders’ deficit, and cash flows for the year ended December 31, 2021 and for the period from November 9, 2020 (Inception) to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November 9, 2020 (inception) to December 31, 2020, in conformity with accounting principles generally accepted in the United States of America.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6 to the financial statements, the Company has incurred losses from inception that raises substantial doubt about its ability to continue as a going concern. Management’s plans in regards to these matters are also described in Note 6. The financial statements do not include any adjustments that might result from the outcome of this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Raich Ende Malter &amp; Co. LLP</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PCAOB # 50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New York</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d_004"/>
      <w:bookmarkEnd w:id="46"/>
      <w:r>
        <w:rPr>
          <w:rFonts w:ascii="Times New Roman;Times;Serif" w:hAnsi="Times New Roman;Times;Serif"/>
          <w:b/>
          <w:i w:val="false"/>
          <w:caps w:val="false"/>
          <w:smallCaps w:val="false"/>
          <w:sz w:val="20"/>
        </w:rPr>
        <w:t>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70"/>
        <w:gridCol w:w="60"/>
        <w:gridCol w:w="140"/>
        <w:gridCol w:w="875"/>
        <w:gridCol w:w="95"/>
        <w:gridCol w:w="60"/>
        <w:gridCol w:w="140"/>
        <w:gridCol w:w="755"/>
        <w:gridCol w:w="110"/>
      </w:tblGrid>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271</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271</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271</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center"/>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7,500</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pPr>
            <w:r>
              <w:rPr/>
              <w:t>Note payable - stockholder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64,960</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72,460</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72,460</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pPr>
            <w:r>
              <w:rPr/>
              <w:t>Preferred stock, $0.0001 par value; 10,000,000 shares authorized; none issued and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Common stock, $0.0001 par value, 50,000,000 shares authorized, 5,000,000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(124,043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(72,689</w:t>
            </w:r>
          </w:p>
        </w:tc>
        <w:tc>
          <w:tcPr>
            <w:tcW w:w="110" w:type="dxa"/>
            <w:tcBorders/>
            <w:shd w:fill="CCEEFF" w:val="clear"/>
            <w:vAlign w:val="center"/>
          </w:tcPr>
          <w:p>
            <w:pPr>
              <w:pStyle w:val="TableContents"/>
              <w:bidi w:val="0"/>
              <w:spacing w:before="0" w:after="283"/>
              <w:jc w:val="left"/>
              <w:rPr/>
            </w:pPr>
            <w:r>
              <w:rPr/>
              <w:t>)</w:t>
            </w:r>
          </w:p>
        </w:tc>
      </w:tr>
      <w:tr>
        <w:trPr/>
        <w:tc>
          <w:tcPr>
            <w:tcW w:w="7970"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(123,543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(72,189</w:t>
            </w:r>
          </w:p>
        </w:tc>
        <w:tc>
          <w:tcPr>
            <w:tcW w:w="110" w:type="dxa"/>
            <w:tcBorders/>
            <w:shd w:fill="FFFFFF" w:val="clear"/>
            <w:vAlign w:val="center"/>
          </w:tcPr>
          <w:p>
            <w:pPr>
              <w:pStyle w:val="TableContents"/>
              <w:bidi w:val="0"/>
              <w:spacing w:before="0" w:after="283"/>
              <w:jc w:val="left"/>
              <w:rPr/>
            </w:pPr>
            <w:r>
              <w:rPr/>
              <w:t>)</w:t>
            </w:r>
          </w:p>
        </w:tc>
      </w:tr>
      <w:tr>
        <w:trPr/>
        <w:tc>
          <w:tcPr>
            <w:tcW w:w="7970" w:type="dxa"/>
            <w:tcBorders/>
            <w:shd w:fill="CCEEFF" w:val="clear"/>
            <w:vAlign w:val="center"/>
          </w:tcPr>
          <w:p>
            <w:pPr>
              <w:pStyle w:val="TableContents"/>
              <w:bidi w:val="0"/>
              <w:spacing w:before="0" w:after="283"/>
              <w:jc w:val="left"/>
              <w:rPr>
                <w:b/>
              </w:rPr>
            </w:pPr>
            <w:r>
              <w:rPr>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d_005"/>
      <w:bookmarkEnd w:id="47"/>
      <w:r>
        <w:rPr>
          <w:rFonts w:ascii="Times New Roman;Times;Serif" w:hAnsi="Times New Roman;Times;Serif"/>
          <w:b/>
          <w:i w:val="false"/>
          <w:caps w:val="false"/>
          <w:smallCaps w:val="false"/>
          <w:sz w:val="20"/>
        </w:rPr>
        <w:t>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caps w:val="false"/>
          <w:smallCaps w:val="false"/>
        </w:rPr>
      </w:pPr>
      <w:r>
        <w:rPr>
          <w:caps w:val="false"/>
          <w:smallCaps w:val="false"/>
        </w:rPr>
        <w:t> </w:t>
      </w:r>
    </w:p>
    <w:tbl>
      <w:tblPr>
        <w:tblW w:w="8675" w:type="dxa"/>
        <w:jc w:val="left"/>
        <w:tblInd w:w="0" w:type="dxa"/>
        <w:tblLayout w:type="fixed"/>
        <w:tblCellMar>
          <w:top w:w="0" w:type="dxa"/>
          <w:left w:w="0" w:type="dxa"/>
          <w:bottom w:w="0" w:type="dxa"/>
          <w:right w:w="0" w:type="dxa"/>
        </w:tblCellMar>
      </w:tblPr>
      <w:tblGrid>
        <w:gridCol w:w="6110"/>
        <w:gridCol w:w="60"/>
        <w:gridCol w:w="140"/>
        <w:gridCol w:w="980"/>
        <w:gridCol w:w="95"/>
        <w:gridCol w:w="60"/>
        <w:gridCol w:w="140"/>
        <w:gridCol w:w="980"/>
        <w:gridCol w:w="110"/>
      </w:tblGrid>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w:t>
              <w:br/>
              <w:t>Years Ended</w:t>
              <w:br/>
              <w:t>December 31,</w:t>
            </w:r>
          </w:p>
        </w:tc>
        <w:tc>
          <w:tcPr>
            <w:tcW w:w="110"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51,354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54,627</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(51,354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(54,627</w:t>
            </w:r>
          </w:p>
        </w:tc>
        <w:tc>
          <w:tcPr>
            <w:tcW w:w="110" w:type="dxa"/>
            <w:tcBorders/>
            <w:shd w:fill="CCEEFF" w:val="clear"/>
            <w:vAlign w:val="center"/>
          </w:tcPr>
          <w:p>
            <w:pPr>
              <w:pStyle w:val="TableContents"/>
              <w:bidi w:val="0"/>
              <w:spacing w:before="0" w:after="283"/>
              <w:jc w:val="left"/>
              <w:rPr/>
            </w:pPr>
            <w:r>
              <w:rPr/>
              <w:t>)</w:t>
            </w:r>
          </w:p>
        </w:tc>
      </w:tr>
      <w:tr>
        <w:trPr/>
        <w:tc>
          <w:tcPr>
            <w:tcW w:w="6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(51,354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(54,627</w:t>
            </w:r>
          </w:p>
        </w:tc>
        <w:tc>
          <w:tcPr>
            <w:tcW w:w="110" w:type="dxa"/>
            <w:tcBorders/>
            <w:shd w:fill="CCEEFF" w:val="clear"/>
            <w:vAlign w:val="center"/>
          </w:tcPr>
          <w:p>
            <w:pPr>
              <w:pStyle w:val="TableContents"/>
              <w:bidi w:val="0"/>
              <w:spacing w:before="0" w:after="283"/>
              <w:jc w:val="left"/>
              <w:rPr>
                <w:b/>
              </w:rPr>
            </w:pPr>
            <w:r>
              <w:rPr>
                <w:b/>
              </w:rPr>
              <w:t>)</w:t>
            </w:r>
          </w:p>
        </w:tc>
      </w:tr>
      <w:tr>
        <w:trPr/>
        <w:tc>
          <w:tcPr>
            <w:tcW w:w="6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Weighted average common stock outstanding, basic and dilutive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5,000,000</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Loss per share of common stock, basic and dilutive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d_006"/>
      <w:bookmarkEnd w:id="48"/>
      <w:r>
        <w:rPr>
          <w:rFonts w:ascii="Times New Roman;Times;Serif" w:hAnsi="Times New Roman;Times;Serif"/>
          <w:b/>
          <w:i w:val="false"/>
          <w:caps w:val="false"/>
          <w:smallCaps w:val="false"/>
          <w:sz w:val="20"/>
        </w:rPr>
        <w:t>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STOCKHOLDERS’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2022 and 2021</w:t>
      </w:r>
    </w:p>
    <w:p>
      <w:pPr>
        <w:pStyle w:val="TextBody"/>
        <w:bidi w:val="0"/>
        <w:spacing w:before="0" w:after="0"/>
        <w:ind w:left="0" w:right="0" w:hanging="0"/>
        <w:jc w:val="center"/>
        <w:rPr/>
      </w:pPr>
      <w:r>
        <w:rPr>
          <w:caps w:val="false"/>
          <w:smallCaps w:val="false"/>
        </w:rPr>
        <w:t> </w:t>
      </w:r>
      <w:r>
        <w:rPr/>
        <w:t xml:space="preserve"> </w:t>
      </w:r>
    </w:p>
    <w:tbl>
      <w:tblPr>
        <w:tblW w:w="8689" w:type="dxa"/>
        <w:jc w:val="left"/>
        <w:tblInd w:w="0" w:type="dxa"/>
        <w:tblLayout w:type="fixed"/>
        <w:tblCellMar>
          <w:top w:w="0" w:type="dxa"/>
          <w:left w:w="0" w:type="dxa"/>
          <w:bottom w:w="0" w:type="dxa"/>
          <w:right w:w="0" w:type="dxa"/>
        </w:tblCellMar>
      </w:tblPr>
      <w:tblGrid>
        <w:gridCol w:w="3110"/>
        <w:gridCol w:w="60"/>
        <w:gridCol w:w="60"/>
        <w:gridCol w:w="980"/>
        <w:gridCol w:w="60"/>
        <w:gridCol w:w="60"/>
        <w:gridCol w:w="231"/>
        <w:gridCol w:w="629"/>
        <w:gridCol w:w="60"/>
        <w:gridCol w:w="60"/>
        <w:gridCol w:w="188"/>
        <w:gridCol w:w="1182"/>
        <w:gridCol w:w="95"/>
        <w:gridCol w:w="60"/>
        <w:gridCol w:w="239"/>
        <w:gridCol w:w="1505"/>
        <w:gridCol w:w="11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44" w:type="dxa"/>
            <w:gridSpan w:val="2"/>
            <w:tcBorders/>
            <w:vAlign w:val="center"/>
          </w:tcPr>
          <w:p>
            <w:pPr>
              <w:pStyle w:val="TableContents"/>
              <w:bidi w:val="0"/>
              <w:spacing w:before="0" w:after="283"/>
              <w:jc w:val="center"/>
              <w:rPr/>
            </w:pPr>
            <w:r>
              <w:rPr/>
              <w:t> </w:t>
            </w:r>
            <w:r>
              <w:rPr>
                <w:rFonts w:ascii="Times New Roman;Times;Serif" w:hAnsi="Times New Roman;Times;Serif"/>
                <w:b/>
                <w:sz w:val="20"/>
              </w:rPr>
              <w:t>Total Stockholders’</w:t>
            </w:r>
          </w:p>
        </w:tc>
        <w:tc>
          <w:tcPr>
            <w:tcW w:w="110" w:type="dxa"/>
            <w:tcBorders/>
            <w:vAlign w:val="center"/>
          </w:tcPr>
          <w:p>
            <w:pPr>
              <w:pStyle w:val="TableContents"/>
              <w:bidi w:val="0"/>
              <w:spacing w:before="0" w:after="283"/>
              <w:jc w:val="center"/>
              <w:rPr/>
            </w:pPr>
            <w:r>
              <w:rPr/>
              <w:t> </w:t>
            </w:r>
          </w:p>
        </w:tc>
      </w:tr>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10" w:type="dxa"/>
            <w:tcBorders/>
            <w:vAlign w:val="center"/>
          </w:tcPr>
          <w:p>
            <w:pPr>
              <w:pStyle w:val="TableContents"/>
              <w:bidi w:val="0"/>
              <w:spacing w:before="0" w:after="283"/>
              <w:jc w:val="center"/>
              <w:rPr/>
            </w:pPr>
            <w:r>
              <w:rPr/>
              <w:t> </w:t>
            </w:r>
          </w:p>
        </w:tc>
      </w:tr>
      <w:tr>
        <w:trPr/>
        <w:tc>
          <w:tcPr>
            <w:tcW w:w="3110" w:type="dxa"/>
            <w:tcBorders/>
            <w:shd w:fill="CCEEFF" w:val="clear"/>
            <w:vAlign w:val="center"/>
          </w:tcPr>
          <w:p>
            <w:pPr>
              <w:pStyle w:val="TableContents"/>
              <w:bidi w:val="0"/>
              <w:spacing w:before="0" w:after="283"/>
              <w:jc w:val="left"/>
              <w:rPr>
                <w:b/>
              </w:rPr>
            </w:pPr>
            <w:r>
              <w:rPr>
                <w:b/>
              </w:rPr>
              <w:t>Balances –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(18,062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1505" w:type="dxa"/>
            <w:tcBorders/>
            <w:shd w:fill="CCEEFF" w:val="clear"/>
            <w:vAlign w:val="center"/>
          </w:tcPr>
          <w:p>
            <w:pPr>
              <w:pStyle w:val="TableContents"/>
              <w:bidi w:val="0"/>
              <w:spacing w:before="0" w:after="283"/>
              <w:jc w:val="right"/>
              <w:rPr>
                <w:b/>
              </w:rPr>
            </w:pPr>
            <w:r>
              <w:rPr>
                <w:b/>
              </w:rPr>
              <w:t>(17,562</w:t>
            </w:r>
          </w:p>
        </w:tc>
        <w:tc>
          <w:tcPr>
            <w:tcW w:w="110" w:type="dxa"/>
            <w:tcBorders/>
            <w:shd w:fill="CCEEFF" w:val="clear"/>
            <w:vAlign w:val="center"/>
          </w:tcPr>
          <w:p>
            <w:pPr>
              <w:pStyle w:val="TableContents"/>
              <w:bidi w:val="0"/>
              <w:spacing w:before="0" w:after="283"/>
              <w:jc w:val="left"/>
              <w:rPr>
                <w:b/>
              </w:rPr>
            </w:pPr>
            <w:r>
              <w:rPr>
                <w:b/>
              </w:rPr>
              <w:t>)</w:t>
            </w:r>
          </w:p>
        </w:tc>
      </w:tr>
      <w:tr>
        <w:trPr/>
        <w:tc>
          <w:tcPr>
            <w:tcW w:w="31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(54,627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FFFFFF" w:val="clear"/>
            <w:tcMar>
              <w:bottom w:w="28" w:type="dxa"/>
            </w:tcMar>
            <w:vAlign w:val="center"/>
          </w:tcPr>
          <w:p>
            <w:pPr>
              <w:pStyle w:val="TableContents"/>
              <w:bidi w:val="0"/>
              <w:spacing w:before="0" w:after="283"/>
              <w:jc w:val="right"/>
              <w:rPr/>
            </w:pPr>
            <w:r>
              <w:rPr/>
              <w:t>(54,627</w:t>
            </w:r>
          </w:p>
        </w:tc>
        <w:tc>
          <w:tcPr>
            <w:tcW w:w="11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b/>
              </w:rPr>
            </w:pPr>
            <w:r>
              <w:rPr>
                <w:b/>
              </w:rPr>
              <w:t>Balances – December 31,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b/>
              </w:rPr>
            </w:pPr>
            <w:r>
              <w:rPr>
                <w:b/>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b/>
              </w:rPr>
            </w:pPr>
            <w:r>
              <w:rPr>
                <w:b/>
              </w:rPr>
              <w:t>(72,689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right"/>
              <w:rPr>
                <w:b/>
              </w:rPr>
            </w:pPr>
            <w:r>
              <w:rPr>
                <w:b/>
              </w:rPr>
              <w:t>(72,189</w:t>
            </w:r>
          </w:p>
        </w:tc>
        <w:tc>
          <w:tcPr>
            <w:tcW w:w="110" w:type="dxa"/>
            <w:tcBorders/>
            <w:shd w:fill="FFFFFF" w:val="clear"/>
            <w:vAlign w:val="center"/>
          </w:tcPr>
          <w:p>
            <w:pPr>
              <w:pStyle w:val="TableContents"/>
              <w:bidi w:val="0"/>
              <w:spacing w:before="0" w:after="283"/>
              <w:jc w:val="left"/>
              <w:rPr>
                <w:b/>
              </w:rPr>
            </w:pPr>
            <w:r>
              <w:rPr>
                <w:b/>
              </w:rPr>
              <w:t>)</w:t>
            </w:r>
          </w:p>
        </w:tc>
      </w:tr>
      <w:tr>
        <w:trPr/>
        <w:tc>
          <w:tcPr>
            <w:tcW w:w="3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(51,354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FFFFFF" w:val="clear"/>
            <w:tcMar>
              <w:bottom w:w="28" w:type="dxa"/>
            </w:tcMar>
            <w:vAlign w:val="center"/>
          </w:tcPr>
          <w:p>
            <w:pPr>
              <w:pStyle w:val="TableContents"/>
              <w:bidi w:val="0"/>
              <w:spacing w:before="0" w:after="283"/>
              <w:jc w:val="right"/>
              <w:rPr/>
            </w:pPr>
            <w:r>
              <w:rPr/>
              <w:t>(51,354</w:t>
            </w:r>
          </w:p>
        </w:tc>
        <w:tc>
          <w:tcPr>
            <w:tcW w:w="11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b/>
              </w:rPr>
            </w:pPr>
            <w:r>
              <w:rPr>
                <w:b/>
              </w:rPr>
              <w:t>Balances –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(124,043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5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(123,543</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d_007"/>
      <w:bookmarkEnd w:id="49"/>
      <w:r>
        <w:rPr>
          <w:rFonts w:ascii="Times New Roman;Times;Serif" w:hAnsi="Times New Roman;Times;Serif"/>
          <w:b/>
          <w:i w:val="false"/>
          <w:caps w:val="false"/>
          <w:smallCaps w:val="false"/>
          <w:sz w:val="20"/>
        </w:rPr>
        <w:t>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caps w:val="false"/>
          <w:smallCaps w:val="false"/>
        </w:rPr>
      </w:pPr>
      <w:r>
        <w:rPr>
          <w:caps w:val="false"/>
          <w:smallCaps w:val="false"/>
        </w:rPr>
        <w:t> </w:t>
      </w:r>
    </w:p>
    <w:tbl>
      <w:tblPr>
        <w:tblW w:w="8945" w:type="dxa"/>
        <w:jc w:val="left"/>
        <w:tblInd w:w="0" w:type="dxa"/>
        <w:tblLayout w:type="fixed"/>
        <w:tblCellMar>
          <w:top w:w="0" w:type="dxa"/>
          <w:left w:w="0" w:type="dxa"/>
          <w:bottom w:w="0" w:type="dxa"/>
          <w:right w:w="0" w:type="dxa"/>
        </w:tblCellMar>
      </w:tblPr>
      <w:tblGrid>
        <w:gridCol w:w="6830"/>
        <w:gridCol w:w="60"/>
        <w:gridCol w:w="140"/>
        <w:gridCol w:w="755"/>
        <w:gridCol w:w="95"/>
        <w:gridCol w:w="60"/>
        <w:gridCol w:w="140"/>
        <w:gridCol w:w="755"/>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Years Ended </w:t>
              <w:br/>
              <w:t>December 31,</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(51,354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(54,627</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(48,854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(51,627</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Proceeds from note payable - stockholder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49,040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42,460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49,040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42,460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change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(9,167</w:t>
            </w:r>
          </w:p>
        </w:tc>
        <w:tc>
          <w:tcPr>
            <w:tcW w:w="110" w:type="dxa"/>
            <w:tcBorders/>
            <w:shd w:fill="FFFFFF" w:val="clear"/>
            <w:vAlign w:val="center"/>
          </w:tcPr>
          <w:p>
            <w:pPr>
              <w:pStyle w:val="TableContents"/>
              <w:bidi w:val="0"/>
              <w:spacing w:before="0" w:after="283"/>
              <w:jc w:val="left"/>
              <w:rPr>
                <w:b/>
              </w:rPr>
            </w:pPr>
            <w:r>
              <w:rPr>
                <w:b/>
              </w:rPr>
              <w:t>)</w:t>
            </w:r>
          </w:p>
        </w:tc>
      </w:tr>
      <w:tr>
        <w:trPr/>
        <w:tc>
          <w:tcPr>
            <w:tcW w:w="6830" w:type="dxa"/>
            <w:tcBorders/>
            <w:shd w:fill="CCEEFF" w:val="clear"/>
            <w:vAlign w:val="center"/>
          </w:tcPr>
          <w:p>
            <w:pPr>
              <w:pStyle w:val="TableContents"/>
              <w:bidi w:val="0"/>
              <w:spacing w:before="0" w:after="283"/>
              <w:jc w:val="left"/>
              <w:rPr/>
            </w:pPr>
            <w:r>
              <w:rPr/>
              <w:t>Cash -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9,438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 w:name="d_008"/>
      <w:bookmarkEnd w:id="50"/>
      <w:r>
        <w:rPr>
          <w:rFonts w:ascii="Times New Roman;Times;Serif" w:hAnsi="Times New Roman;Times;Serif"/>
          <w:b/>
          <w:i w:val="false"/>
          <w:caps w:val="false"/>
          <w:smallCaps w:val="false"/>
          <w:sz w:val="20"/>
        </w:rPr>
        <w:t>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val="false"/>
          <w:caps w:val="false"/>
          <w:smallCaps w:val="false"/>
          <w:sz w:val="20"/>
          <w:u w:val="single"/>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Acquisition Corp. (the “Company”) was incorporated in the State of Delaware on November 9, 2020. The Company’s management has chosen December 31st for its fiscal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organized as a vehicle to investigate and, if such investigation warrants, acquire a target company or business seeking the perceived advantages of being a publicly traded corporation. The Company’s principal business objective is to achieve long-term growth potential through a combination with a business, rather than immediate short-term earnings. The Company will not restrict its potential target companies to any specific business, industry, or geographical location. The analysis of business opportunities will be undertaken by, or under the supervision of, the officer and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 </w:t>
      </w:r>
      <w:r>
        <w:rPr>
          <w:rFonts w:ascii="Times New Roman;Times;Serif" w:hAnsi="Times New Roman;Times;Serif"/>
          <w:b/>
          <w:i w:val="false"/>
          <w:caps w:val="false"/>
          <w:smallCaps w:val="false"/>
          <w:sz w:val="20"/>
          <w:u w:val="single"/>
        </w:rPr>
        <w:t>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accounting principles generally accepted in the United States of America (“</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at its inception. Under ASC 740, 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components of the deferred tax assets and liabilities are individually classified as current and non-current based on their characteristics.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accrued interest and penalties related to unrecognized tax benefits as income tax expense. There were no unrecognized tax benefits and no amounts accrued for interest and penalties as of December 31, 2022 and 2021. The Company is currently not aware of any issues under review that could result in significant payments, accruals or material deviation from its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is computed by dividing net loss by the weighted average number of common shares outstanding for the period. Diluted earnings per share takes into effect any dilutive instruments, except when doing so would be anti-dilutive. As of December 31, 2022 and 2021, there were no dilutive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or the JOBS Act. As such, the Company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the Company’s periodic reports and proxy statements, and exemptions from the requirements of holding a non-binding advisory vote on executive compensation and shareholder approval of any golden parachute payments not previously approved. If some investors find the securities less attractive as a result, there may be a less active trading market for securities and the prices of securities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(that is, an “emerging growth company” can delay the adoption of certain accounting standards until those standards would otherwise apply to private companies). The Company intends to take advantage of the benefits of this extended transition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is a “smaller reporting company” as defined in Item 10(f)(1) of Regulation S-K. Smaller reporting companies may take advantage of certain reduced disclosure obligations, including, among other things, providing only two years of audited financial statements. The Company will remain a smaller reporting company until the last day of the fiscal year in which (1) the market value of the ordinary shares held by non-affiliates equals or exceeds $250 million as of the prior June 30, and (2) the annual revenues equaled or exceeded $100 million during such completed fiscal year or the market value of the ordinary shares held by non-affiliates equals or exceeds $700 million as of the prior June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yet effective accounting pronouncements, if adopted, would have a material effect on the accompanying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val="false"/>
          <w:caps w:val="false"/>
          <w:smallCaps w:val="false"/>
          <w:sz w:val="20"/>
          <w:u w:val="single"/>
        </w:rPr>
        <w:t>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Company has 10,000,000 shares of preferred stock, par value of $0.0001, authorized and none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Company has 50,000,000 shares of common stock, par value of $0.0001, authorized and has issued 5,000,000 shares of its $0.0001 par value common stock for $500 to the founders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w:t>
      </w:r>
      <w:r>
        <w:rPr>
          <w:rFonts w:ascii="Times New Roman;Times;Serif" w:hAnsi="Times New Roman;Times;Serif"/>
          <w:b/>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Company has approximately $22,300 and $11,500, respectively, in gross deferred tax assets resulting from net operating loss carry-forwards of $106,000 and $54,600, respectively, available to offset future taxable income through 2041 subject to the change in ownership provisions under IRC 382. A valuation allowance has been recorded to fully offset these deferred tax assets because the Company’s management believes future realization of the related tax benefits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tax provision at the statutory federal income tax rate on December 31, 2022 and 2021 and the tax provisions attributable to loss before income taxes is as follows:</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885"/>
        <w:gridCol w:w="60"/>
        <w:gridCol w:w="60"/>
        <w:gridCol w:w="515"/>
        <w:gridCol w:w="290"/>
        <w:gridCol w:w="60"/>
        <w:gridCol w:w="60"/>
        <w:gridCol w:w="515"/>
        <w:gridCol w:w="305"/>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305" w:type="dxa"/>
            <w:tcBorders/>
            <w:vAlign w:val="center"/>
          </w:tcPr>
          <w:p>
            <w:pPr>
              <w:pStyle w:val="TableContents"/>
              <w:bidi w:val="0"/>
              <w:spacing w:before="0" w:after="283"/>
              <w:ind w:left="0" w:right="0" w:hanging="180"/>
              <w:jc w:val="left"/>
              <w:rPr/>
            </w:pPr>
            <w:r>
              <w:rPr/>
              <w:t> </w:t>
            </w:r>
          </w:p>
        </w:tc>
      </w:tr>
      <w:tr>
        <w:trPr/>
        <w:tc>
          <w:tcPr>
            <w:tcW w:w="2885" w:type="dxa"/>
            <w:tcBorders/>
            <w:shd w:fill="CCEEFF" w:val="clear"/>
            <w:vAlign w:val="center"/>
          </w:tcPr>
          <w:p>
            <w:pPr>
              <w:pStyle w:val="TableContents"/>
              <w:bidi w:val="0"/>
              <w:spacing w:before="0" w:after="283"/>
              <w:jc w:val="both"/>
              <w:rPr/>
            </w:pPr>
            <w:r>
              <w:rPr/>
              <w:t>Statutory federal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2885" w:type="dxa"/>
            <w:tcBorders/>
            <w:shd w:fill="FFFFFF" w:val="clear"/>
            <w:vAlign w:val="center"/>
          </w:tcPr>
          <w:p>
            <w:pPr>
              <w:pStyle w:val="TableContents"/>
              <w:bidi w:val="0"/>
              <w:spacing w:before="0" w:after="283"/>
              <w:jc w:val="both"/>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(21.0</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(21.0</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2885" w:type="dxa"/>
            <w:tcBorders/>
            <w:shd w:fill="CCEEFF" w:val="clear"/>
            <w:vAlign w:val="center"/>
          </w:tcPr>
          <w:p>
            <w:pPr>
              <w:pStyle w:val="TableContents"/>
              <w:bidi w:val="0"/>
              <w:spacing w:before="0" w:after="283"/>
              <w:jc w:val="both"/>
              <w:rPr/>
            </w:pPr>
            <w:r>
              <w:rPr/>
              <w:t>Effective income tax rate,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i w:val="false"/>
          <w:caps w:val="false"/>
          <w:smallCaps w:val="false"/>
          <w:sz w:val="20"/>
          <w:u w:val="single"/>
        </w:rPr>
        <w:t>Commitments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the office space and equipment of its management at no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Payable -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2020, the Company issued a promissory note (the “Note”) to the majority stockholder of the Company pursuant to which the Company agreed to repay the sum of any and all amounts advanced to the Company, on or before the date that the Company consummates a business combination with a private company or reverse takeover transaction or other transaction, after which the Company would cease to be a shell company. In the event of an Event of Default, the entire note shall automatically become due and payable (the “Default Date”) and starting from five (5) days after the Default Date, the interest rate on the note shall accrue at the rate of eighteen percent (18%) per annum. As of December 31, 2022 and 2021, the amount due under the note payable was $114,000 and $64,960,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w:t>
      </w:r>
      <w:r>
        <w:rPr>
          <w:rFonts w:ascii="Times New Roman;Times;Serif" w:hAnsi="Times New Roman;Times;Serif"/>
          <w:b/>
          <w:i w:val="false"/>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the Company will continue as a going concern, which contemplates the recoverability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losses from inception of $124,043, has negative working capital of $123,543, and has a stockholders’ deficit of $123,543 as of December 31, 2022. Management believes these conditions raise substantial doubt about the Company’s ability to continue as a going concern for the twelve months following the date these financial statements are issued. Management intends to finance operations over the next twelve months through additional borrowings on the existing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do not include any adjustments that might be required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val="false"/>
          <w:caps w:val="false"/>
          <w:smallCaps w:val="false"/>
          <w:sz w:val="20"/>
          <w:u w:val="single"/>
        </w:rPr>
        <w:t>Contingencies - COVID-19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2020, the World Health Organization officially declared the outbreak of the novel coronavirus COVID-19 a “pandemic.” A significant outbreak of COVID-19 and other infectious diseases has resulted in a widespread health crisis that has significantly adversely affected businesses of all types, economies and financial markets worldwide. The business of any potential target company with which the Company consummates a business combination could be materially and adversely affected. Furthermore, the Company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extended period of time, the Company’s ability to consummate a business combination, or the operations of a target business with which the Company ultimately consummates a business combination, may be materially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1" w:name="e_003"/>
      <w:bookmarkEnd w:id="51"/>
      <w:r>
        <w:rPr>
          <w:rFonts w:ascii="Times New Roman;Times;Serif" w:hAnsi="Times New Roman;Times;Serif"/>
          <w:b/>
          <w:i w:val="false"/>
          <w:caps w:val="false"/>
          <w:smallCaps w:val="false"/>
          <w:sz w:val="20"/>
        </w:rPr>
        <w:t>PATRICIA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90"/>
        <w:gridCol w:w="60"/>
        <w:gridCol w:w="455"/>
      </w:tblGrid>
      <w:tr>
        <w:trPr/>
        <w:tc>
          <w:tcPr>
            <w:tcW w:w="9690" w:type="dxa"/>
            <w:tcBorders>
              <w:bottom w:val="single" w:sz="12" w:space="0" w:color="000000"/>
            </w:tcBorders>
            <w:vAlign w:val="center"/>
          </w:tcPr>
          <w:p>
            <w:pPr>
              <w:pStyle w:val="TableContents"/>
              <w:bidi w:val="0"/>
              <w:spacing w:before="0" w:after="283"/>
              <w:jc w:val="left"/>
              <w:rPr>
                <w:b/>
                <w:sz w:val="20"/>
              </w:rPr>
            </w:pPr>
            <w:r>
              <w:rPr>
                <w:b/>
                <w:sz w:val="20"/>
              </w:rPr>
              <w:t>Statement</w:t>
            </w:r>
          </w:p>
        </w:tc>
        <w:tc>
          <w:tcPr>
            <w:tcW w:w="6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283"/>
              <w:jc w:val="center"/>
              <w:rPr>
                <w:b/>
                <w:sz w:val="20"/>
              </w:rPr>
            </w:pPr>
            <w:r>
              <w:rPr>
                <w:b/>
                <w:sz w:val="20"/>
              </w:rPr>
              <w:t>Page</w:t>
            </w:r>
          </w:p>
        </w:tc>
      </w:tr>
      <w:tr>
        <w:trPr/>
        <w:tc>
          <w:tcPr>
            <w:tcW w:w="9690" w:type="dxa"/>
            <w:tcBorders/>
            <w:shd w:fill="CCEEFF" w:val="clear"/>
            <w:tcMar>
              <w:bottom w:w="0" w:type="dxa"/>
            </w:tcMar>
            <w:vAlign w:val="center"/>
          </w:tcPr>
          <w:p>
            <w:pPr>
              <w:pStyle w:val="TableContents"/>
              <w:bidi w:val="0"/>
              <w:spacing w:before="0" w:after="283"/>
              <w:jc w:val="left"/>
              <w:rPr/>
            </w:pPr>
            <w:hyperlink w:anchor="e_003">
              <w:r>
                <w:rPr>
                  <w:rStyle w:val="InternetLink"/>
                  <w:sz w:val="20"/>
                </w:rPr>
                <w:t>Index to Condensed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F-58</w:t>
            </w:r>
          </w:p>
        </w:tc>
      </w:tr>
      <w:tr>
        <w:trPr/>
        <w:tc>
          <w:tcPr>
            <w:tcW w:w="96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e_004">
              <w:r>
                <w:rPr>
                  <w:rStyle w:val="InternetLink"/>
                  <w:sz w:val="20"/>
                </w:rPr>
                <w:t>Condensed Balance Sheets as of June 30, 2023 (Unaudited) and December 31, 2022</w:t>
              </w:r>
            </w:hyperlink>
            <w:r>
              <w:rPr>
                <w:sz w:val="20"/>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F-59</w:t>
            </w:r>
          </w:p>
        </w:tc>
      </w:tr>
      <w:tr>
        <w:trPr/>
        <w:tc>
          <w:tcPr>
            <w:tcW w:w="96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e_005">
              <w:r>
                <w:rPr>
                  <w:rStyle w:val="InternetLink"/>
                  <w:sz w:val="20"/>
                </w:rPr>
                <w:t>Condensed Statements of Operations (Unaudited) for the Three and Six Months ended June 30, 2023 and 2022</w:t>
              </w:r>
            </w:hyperlink>
            <w:r>
              <w:rPr>
                <w:sz w:val="20"/>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F-60</w:t>
            </w:r>
          </w:p>
        </w:tc>
      </w:tr>
      <w:tr>
        <w:trPr/>
        <w:tc>
          <w:tcPr>
            <w:tcW w:w="96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e_006">
              <w:r>
                <w:rPr>
                  <w:rStyle w:val="InternetLink"/>
                  <w:sz w:val="20"/>
                </w:rPr>
                <w:t>Condensed Statements of Changes in Stockholders’ Deficit (Unaudited) for the Three and Six Months ended June 30, 2023 and 2022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F-61</w:t>
            </w:r>
          </w:p>
        </w:tc>
      </w:tr>
      <w:tr>
        <w:trPr/>
        <w:tc>
          <w:tcPr>
            <w:tcW w:w="96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e_007">
              <w:r>
                <w:rPr>
                  <w:rStyle w:val="InternetLink"/>
                  <w:sz w:val="20"/>
                </w:rPr>
                <w:t>Condensed Statements of Cash Flows (Unaudited) for the Six Months ended June 30, 2023 and 2022</w:t>
              </w:r>
            </w:hyperlink>
            <w:r>
              <w:rPr>
                <w:sz w:val="20"/>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F-62</w:t>
            </w:r>
          </w:p>
        </w:tc>
      </w:tr>
      <w:tr>
        <w:trPr/>
        <w:tc>
          <w:tcPr>
            <w:tcW w:w="96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 </w:t>
            </w:r>
          </w:p>
        </w:tc>
      </w:tr>
      <w:tr>
        <w:trPr/>
        <w:tc>
          <w:tcPr>
            <w:tcW w:w="9690" w:type="dxa"/>
            <w:tcBorders/>
            <w:shd w:fill="CCEEFF" w:val="clear"/>
            <w:tcMar>
              <w:bottom w:w="0" w:type="dxa"/>
            </w:tcMar>
            <w:vAlign w:val="center"/>
          </w:tcPr>
          <w:p>
            <w:pPr>
              <w:pStyle w:val="TableContents"/>
              <w:bidi w:val="0"/>
              <w:spacing w:before="0" w:after="283"/>
              <w:jc w:val="left"/>
              <w:rPr/>
            </w:pPr>
            <w:hyperlink w:anchor="e_008">
              <w:r>
                <w:rPr>
                  <w:rStyle w:val="InternetLink"/>
                  <w:sz w:val="20"/>
                </w:rPr>
                <w:t>Notes to Condensed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F-63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2" w:name="e_004"/>
      <w:bookmarkEnd w:id="52"/>
      <w:r>
        <w:rPr>
          <w:rFonts w:ascii="Times New Roman;Times;Serif" w:hAnsi="Times New Roman;Times;Serif"/>
          <w:b/>
          <w:i w:val="false"/>
          <w:caps w:val="false"/>
          <w:smallCaps w:val="false"/>
          <w:sz w:val="20"/>
        </w:rPr>
        <w:t>PATRICIA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4"/>
        <w:gridCol w:w="60"/>
        <w:gridCol w:w="168"/>
        <w:gridCol w:w="1054"/>
        <w:gridCol w:w="95"/>
        <w:gridCol w:w="60"/>
        <w:gridCol w:w="181"/>
        <w:gridCol w:w="1141"/>
        <w:gridCol w:w="112"/>
      </w:tblGrid>
      <w:tr>
        <w:trPr/>
        <w:tc>
          <w:tcPr>
            <w:tcW w:w="7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2022</w:t>
            </w:r>
          </w:p>
        </w:tc>
        <w:tc>
          <w:tcPr>
            <w:tcW w:w="112" w:type="dxa"/>
            <w:tcBorders/>
            <w:vAlign w:val="center"/>
          </w:tcPr>
          <w:p>
            <w:pPr>
              <w:pStyle w:val="TableContents"/>
              <w:bidi w:val="0"/>
              <w:spacing w:before="0" w:after="283"/>
              <w:jc w:val="left"/>
              <w:rPr/>
            </w:pPr>
            <w:r>
              <w:rPr/>
              <w:t> </w:t>
            </w:r>
          </w:p>
        </w:tc>
      </w:tr>
      <w:tr>
        <w:trPr/>
        <w:tc>
          <w:tcPr>
            <w:tcW w:w="7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2"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334"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22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3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334"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22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334"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9,236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12" w:type="dxa"/>
            <w:tcBorders/>
            <w:shd w:fill="CCEEFF" w:val="clear"/>
            <w:vAlign w:val="center"/>
          </w:tcPr>
          <w:p>
            <w:pPr>
              <w:pStyle w:val="TableContents"/>
              <w:bidi w:val="0"/>
              <w:spacing w:before="0" w:after="283"/>
              <w:jc w:val="left"/>
              <w:rPr/>
            </w:pPr>
            <w:r>
              <w:rPr/>
              <w:t> </w:t>
            </w:r>
          </w:p>
        </w:tc>
      </w:tr>
      <w:tr>
        <w:trPr/>
        <w:tc>
          <w:tcPr>
            <w:tcW w:w="7334"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9,236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FFFFFF" w:val="clear"/>
            <w:tcMar>
              <w:bottom w:w="28" w:type="dxa"/>
            </w:tcMar>
            <w:vAlign w:val="center"/>
          </w:tcPr>
          <w:p>
            <w:pPr>
              <w:pStyle w:val="TableContents"/>
              <w:bidi w:val="0"/>
              <w:spacing w:before="0" w:after="283"/>
              <w:jc w:val="right"/>
              <w:rPr/>
            </w:pPr>
            <w:r>
              <w:rPr/>
              <w:t>457</w:t>
            </w:r>
          </w:p>
        </w:tc>
        <w:tc>
          <w:tcPr>
            <w:tcW w:w="112" w:type="dxa"/>
            <w:tcBorders/>
            <w:shd w:fill="FFFFFF" w:val="clear"/>
            <w:vAlign w:val="center"/>
          </w:tcPr>
          <w:p>
            <w:pPr>
              <w:pStyle w:val="TableContents"/>
              <w:bidi w:val="0"/>
              <w:spacing w:before="0" w:after="283"/>
              <w:jc w:val="left"/>
              <w:rPr/>
            </w:pPr>
            <w:r>
              <w:rPr/>
              <w:t> </w:t>
            </w:r>
          </w:p>
        </w:tc>
      </w:tr>
      <w:tr>
        <w:trPr/>
        <w:tc>
          <w:tcPr>
            <w:tcW w:w="7334"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457</w:t>
            </w:r>
          </w:p>
        </w:tc>
        <w:tc>
          <w:tcPr>
            <w:tcW w:w="112" w:type="dxa"/>
            <w:tcBorders/>
            <w:shd w:fill="CCEEFF" w:val="clear"/>
            <w:vAlign w:val="center"/>
          </w:tcPr>
          <w:p>
            <w:pPr>
              <w:pStyle w:val="TableContents"/>
              <w:bidi w:val="0"/>
              <w:spacing w:before="0" w:after="283"/>
              <w:jc w:val="left"/>
              <w:rPr/>
            </w:pPr>
            <w:r>
              <w:rPr/>
              <w:t> </w:t>
            </w:r>
          </w:p>
        </w:tc>
      </w:tr>
      <w:tr>
        <w:trPr/>
        <w:tc>
          <w:tcPr>
            <w:tcW w:w="7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34" w:type="dxa"/>
            <w:tcBorders/>
            <w:shd w:fill="CCEEFF" w:val="clear"/>
            <w:vAlign w:val="center"/>
          </w:tcPr>
          <w:p>
            <w:pPr>
              <w:pStyle w:val="TableContents"/>
              <w:bidi w:val="0"/>
              <w:spacing w:before="0" w:after="283"/>
              <w:jc w:val="center"/>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3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34"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34"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054" w:type="dxa"/>
            <w:tcBorders/>
            <w:shd w:fill="FFFFFF" w:val="clear"/>
            <w:vAlign w:val="center"/>
          </w:tcPr>
          <w:p>
            <w:pPr>
              <w:pStyle w:val="TableContents"/>
              <w:bidi w:val="0"/>
              <w:spacing w:before="0" w:after="283"/>
              <w:jc w:val="right"/>
              <w:rPr/>
            </w:pPr>
            <w:r>
              <w:rPr/>
              <w:t>10,600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141" w:type="dxa"/>
            <w:tcBorders/>
            <w:shd w:fill="FFFFFF" w:val="clear"/>
            <w:vAlign w:val="center"/>
          </w:tcPr>
          <w:p>
            <w:pPr>
              <w:pStyle w:val="TableContents"/>
              <w:bidi w:val="0"/>
              <w:spacing w:before="0" w:after="283"/>
              <w:jc w:val="right"/>
              <w:rPr/>
            </w:pPr>
            <w:r>
              <w:rPr/>
              <w:t>10,000</w:t>
            </w:r>
          </w:p>
        </w:tc>
        <w:tc>
          <w:tcPr>
            <w:tcW w:w="112" w:type="dxa"/>
            <w:tcBorders/>
            <w:shd w:fill="FFFFFF" w:val="clear"/>
            <w:vAlign w:val="center"/>
          </w:tcPr>
          <w:p>
            <w:pPr>
              <w:pStyle w:val="TableContents"/>
              <w:bidi w:val="0"/>
              <w:spacing w:before="0" w:after="283"/>
              <w:jc w:val="left"/>
              <w:rPr/>
            </w:pPr>
            <w:r>
              <w:rPr/>
              <w:t> </w:t>
            </w:r>
          </w:p>
        </w:tc>
      </w:tr>
      <w:tr>
        <w:trPr/>
        <w:tc>
          <w:tcPr>
            <w:tcW w:w="7334" w:type="dxa"/>
            <w:tcBorders/>
            <w:shd w:fill="CCEEFF" w:val="clear"/>
            <w:vAlign w:val="center"/>
          </w:tcPr>
          <w:p>
            <w:pPr>
              <w:pStyle w:val="TableContents"/>
              <w:bidi w:val="0"/>
              <w:spacing w:before="0" w:after="283"/>
              <w:jc w:val="left"/>
              <w:rPr/>
            </w:pPr>
            <w:r>
              <w:rPr/>
              <w:t>Note payable - stockholder</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151,500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114,000</w:t>
            </w:r>
          </w:p>
        </w:tc>
        <w:tc>
          <w:tcPr>
            <w:tcW w:w="112" w:type="dxa"/>
            <w:tcBorders/>
            <w:shd w:fill="CCEEFF" w:val="clear"/>
            <w:vAlign w:val="center"/>
          </w:tcPr>
          <w:p>
            <w:pPr>
              <w:pStyle w:val="TableContents"/>
              <w:bidi w:val="0"/>
              <w:spacing w:before="0" w:after="283"/>
              <w:jc w:val="left"/>
              <w:rPr/>
            </w:pPr>
            <w:r>
              <w:rPr/>
              <w:t> </w:t>
            </w:r>
          </w:p>
        </w:tc>
      </w:tr>
      <w:tr>
        <w:trPr/>
        <w:tc>
          <w:tcPr>
            <w:tcW w:w="7334"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162,100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FFFFFF" w:val="clear"/>
            <w:tcMar>
              <w:bottom w:w="28" w:type="dxa"/>
            </w:tcMar>
            <w:vAlign w:val="center"/>
          </w:tcPr>
          <w:p>
            <w:pPr>
              <w:pStyle w:val="TableContents"/>
              <w:bidi w:val="0"/>
              <w:spacing w:before="0" w:after="283"/>
              <w:jc w:val="right"/>
              <w:rPr/>
            </w:pPr>
            <w:r>
              <w:rPr/>
              <w:t>124,000</w:t>
            </w:r>
          </w:p>
        </w:tc>
        <w:tc>
          <w:tcPr>
            <w:tcW w:w="112" w:type="dxa"/>
            <w:tcBorders/>
            <w:shd w:fill="FFFFFF" w:val="clear"/>
            <w:vAlign w:val="center"/>
          </w:tcPr>
          <w:p>
            <w:pPr>
              <w:pStyle w:val="TableContents"/>
              <w:bidi w:val="0"/>
              <w:spacing w:before="0" w:after="283"/>
              <w:jc w:val="left"/>
              <w:rPr/>
            </w:pPr>
            <w:r>
              <w:rPr/>
              <w:t> </w:t>
            </w:r>
          </w:p>
        </w:tc>
      </w:tr>
      <w:tr>
        <w:trPr/>
        <w:tc>
          <w:tcPr>
            <w:tcW w:w="733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162,100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124,000</w:t>
            </w:r>
          </w:p>
        </w:tc>
        <w:tc>
          <w:tcPr>
            <w:tcW w:w="112" w:type="dxa"/>
            <w:tcBorders/>
            <w:shd w:fill="CCEEFF" w:val="clear"/>
            <w:vAlign w:val="center"/>
          </w:tcPr>
          <w:p>
            <w:pPr>
              <w:pStyle w:val="TableContents"/>
              <w:bidi w:val="0"/>
              <w:spacing w:before="0" w:after="283"/>
              <w:jc w:val="left"/>
              <w:rPr/>
            </w:pPr>
            <w:r>
              <w:rPr/>
              <w:t> </w:t>
            </w:r>
          </w:p>
        </w:tc>
      </w:tr>
      <w:tr>
        <w:trPr/>
        <w:tc>
          <w:tcPr>
            <w:tcW w:w="7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34"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34" w:type="dxa"/>
            <w:tcBorders/>
            <w:shd w:fill="CCEEFF" w:val="clear"/>
            <w:vAlign w:val="center"/>
          </w:tcPr>
          <w:p>
            <w:pPr>
              <w:pStyle w:val="TableContents"/>
              <w:bidi w:val="0"/>
              <w:spacing w:before="0" w:after="283"/>
              <w:jc w:val="left"/>
              <w:rPr>
                <w:b/>
              </w:rPr>
            </w:pPr>
            <w:r>
              <w:rPr>
                <w:b/>
              </w:rPr>
              <w:t>Stockholders’ deficit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34" w:type="dxa"/>
            <w:tcBorders/>
            <w:shd w:fill="FFFFFF" w:val="clear"/>
            <w:vAlign w:val="center"/>
          </w:tcPr>
          <w:p>
            <w:pPr>
              <w:pStyle w:val="TableContents"/>
              <w:bidi w:val="0"/>
              <w:spacing w:before="0" w:after="283"/>
              <w:jc w:val="left"/>
              <w:rPr/>
            </w:pPr>
            <w:r>
              <w:rPr/>
              <w:t>Preferred stock, $0.0001 par value; 10,000,000 shares authorized; none issued and   outstanding</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334" w:type="dxa"/>
            <w:tcBorders/>
            <w:shd w:fill="CCEEFF" w:val="clear"/>
            <w:vAlign w:val="center"/>
          </w:tcPr>
          <w:p>
            <w:pPr>
              <w:pStyle w:val="TableContents"/>
              <w:bidi w:val="0"/>
              <w:spacing w:before="0" w:after="283"/>
              <w:jc w:val="left"/>
              <w:rPr/>
            </w:pPr>
            <w:r>
              <w:rPr/>
              <w:t>Common stock, $0.0001 par value, 50,000,000 shares authorized, 5,000,000 shares issued   and outstanding</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500</w:t>
            </w:r>
          </w:p>
        </w:tc>
        <w:tc>
          <w:tcPr>
            <w:tcW w:w="112" w:type="dxa"/>
            <w:tcBorders/>
            <w:shd w:fill="CCEEFF" w:val="clear"/>
            <w:vAlign w:val="center"/>
          </w:tcPr>
          <w:p>
            <w:pPr>
              <w:pStyle w:val="TableContents"/>
              <w:bidi w:val="0"/>
              <w:spacing w:before="0" w:after="283"/>
              <w:jc w:val="left"/>
              <w:rPr/>
            </w:pPr>
            <w:r>
              <w:rPr/>
              <w:t> </w:t>
            </w:r>
          </w:p>
        </w:tc>
      </w:tr>
      <w:tr>
        <w:trPr/>
        <w:tc>
          <w:tcPr>
            <w:tcW w:w="7334"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(153,364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FFFFFF" w:val="clear"/>
            <w:tcMar>
              <w:bottom w:w="28" w:type="dxa"/>
            </w:tcMar>
            <w:vAlign w:val="center"/>
          </w:tcPr>
          <w:p>
            <w:pPr>
              <w:pStyle w:val="TableContents"/>
              <w:bidi w:val="0"/>
              <w:spacing w:before="0" w:after="283"/>
              <w:jc w:val="right"/>
              <w:rPr/>
            </w:pPr>
            <w:r>
              <w:rPr/>
              <w:t>(124,043</w:t>
            </w:r>
          </w:p>
        </w:tc>
        <w:tc>
          <w:tcPr>
            <w:tcW w:w="112" w:type="dxa"/>
            <w:tcBorders/>
            <w:shd w:fill="FFFFFF" w:val="clear"/>
            <w:vAlign w:val="center"/>
          </w:tcPr>
          <w:p>
            <w:pPr>
              <w:pStyle w:val="TableContents"/>
              <w:bidi w:val="0"/>
              <w:spacing w:before="0" w:after="283"/>
              <w:jc w:val="left"/>
              <w:rPr/>
            </w:pPr>
            <w:r>
              <w:rPr/>
              <w:t>)</w:t>
            </w:r>
          </w:p>
        </w:tc>
      </w:tr>
      <w:tr>
        <w:trPr/>
        <w:tc>
          <w:tcPr>
            <w:tcW w:w="7334"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(152,864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(123,543</w:t>
            </w:r>
          </w:p>
        </w:tc>
        <w:tc>
          <w:tcPr>
            <w:tcW w:w="112" w:type="dxa"/>
            <w:tcBorders/>
            <w:shd w:fill="CCEEFF" w:val="clear"/>
            <w:vAlign w:val="center"/>
          </w:tcPr>
          <w:p>
            <w:pPr>
              <w:pStyle w:val="TableContents"/>
              <w:bidi w:val="0"/>
              <w:spacing w:before="0" w:after="283"/>
              <w:jc w:val="left"/>
              <w:rPr/>
            </w:pPr>
            <w:r>
              <w:rPr/>
              <w:t>)</w:t>
            </w:r>
          </w:p>
        </w:tc>
      </w:tr>
      <w:tr>
        <w:trPr/>
        <w:tc>
          <w:tcPr>
            <w:tcW w:w="7334" w:type="dxa"/>
            <w:tcBorders/>
            <w:shd w:fill="FFFFFF" w:val="clear"/>
            <w:vAlign w:val="center"/>
          </w:tcPr>
          <w:p>
            <w:pPr>
              <w:pStyle w:val="TableContents"/>
              <w:bidi w:val="0"/>
              <w:spacing w:before="0" w:after="283"/>
              <w:jc w:val="left"/>
              <w:rPr>
                <w:b/>
              </w:rPr>
            </w:pPr>
            <w:r>
              <w:rPr>
                <w:b/>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4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457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e_005"/>
      <w:bookmarkEnd w:id="53"/>
      <w:r>
        <w:rPr>
          <w:rFonts w:ascii="Times New Roman;Times;Serif" w:hAnsi="Times New Roman;Times;Serif"/>
          <w:b/>
          <w:i w:val="false"/>
          <w:caps w:val="false"/>
          <w:smallCaps w:val="false"/>
          <w:sz w:val="20"/>
        </w:rPr>
        <w:t>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19,190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27,078</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(17,839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(19,190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(29,321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(27,078</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(17,839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(19,190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(29,321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(27,078</w:t>
            </w:r>
          </w:p>
        </w:tc>
        <w:tc>
          <w:tcPr>
            <w:tcW w:w="110" w:type="dxa"/>
            <w:tcBorders/>
            <w:shd w:fill="FFFFFF" w:val="clear"/>
            <w:vAlign w:val="center"/>
          </w:tcPr>
          <w:p>
            <w:pPr>
              <w:pStyle w:val="TableContents"/>
              <w:bidi w:val="0"/>
              <w:spacing w:before="0" w:after="283"/>
              <w:jc w:val="left"/>
              <w:rPr>
                <w:b/>
              </w:rPr>
            </w:pPr>
            <w:r>
              <w:rPr>
                <w:b/>
              </w:rPr>
              <w:t>)</w:t>
            </w:r>
          </w:p>
        </w:tc>
      </w:tr>
      <w:tr>
        <w:trPr/>
        <w:tc>
          <w:tcPr>
            <w:tcW w:w="5090" w:type="dxa"/>
            <w:tcBorders/>
            <w:shd w:fill="CCEEFF" w:val="clear"/>
            <w:vAlign w:val="center"/>
          </w:tcPr>
          <w:p>
            <w:pPr>
              <w:pStyle w:val="TableContents"/>
              <w:bidi w:val="0"/>
              <w:spacing w:before="0" w:after="283"/>
              <w:jc w:val="left"/>
              <w:rPr/>
            </w:pPr>
            <w:r>
              <w:rPr/>
              <w:t>Weighted average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5,000,000</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b/>
              </w:rPr>
            </w:pPr>
            <w:r>
              <w:rPr>
                <w:b/>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 w:name="e_006"/>
      <w:bookmarkEnd w:id="54"/>
      <w:r>
        <w:rPr>
          <w:rFonts w:ascii="Times New Roman;Times;Serif" w:hAnsi="Times New Roman;Times;Serif"/>
          <w:b/>
          <w:i w:val="false"/>
          <w:caps w:val="false"/>
          <w:smallCaps w:val="false"/>
          <w:sz w:val="20"/>
        </w:rPr>
        <w:t>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CHANGES IN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2022</w:t>
      </w:r>
    </w:p>
    <w:p>
      <w:pPr>
        <w:pStyle w:val="TextBody"/>
        <w:bidi w:val="0"/>
        <w:spacing w:before="0" w:after="0"/>
        <w:ind w:left="0" w:right="0" w:hanging="0"/>
        <w:jc w:val="left"/>
        <w:rPr>
          <w:caps w:val="false"/>
          <w:smallCaps w:val="false"/>
        </w:rPr>
      </w:pPr>
      <w:r>
        <w:rPr>
          <w:caps w:val="false"/>
          <w:smallCaps w:val="false"/>
        </w:rPr>
        <w:t> </w:t>
      </w:r>
    </w:p>
    <w:tbl>
      <w:tblPr>
        <w:tblW w:w="8854" w:type="dxa"/>
        <w:jc w:val="left"/>
        <w:tblInd w:w="0" w:type="dxa"/>
        <w:tblLayout w:type="fixed"/>
        <w:tblCellMar>
          <w:top w:w="0" w:type="dxa"/>
          <w:left w:w="0" w:type="dxa"/>
          <w:bottom w:w="0" w:type="dxa"/>
          <w:right w:w="0" w:type="dxa"/>
        </w:tblCellMar>
      </w:tblPr>
      <w:tblGrid>
        <w:gridCol w:w="3005"/>
        <w:gridCol w:w="60"/>
        <w:gridCol w:w="60"/>
        <w:gridCol w:w="980"/>
        <w:gridCol w:w="60"/>
        <w:gridCol w:w="60"/>
        <w:gridCol w:w="231"/>
        <w:gridCol w:w="629"/>
        <w:gridCol w:w="60"/>
        <w:gridCol w:w="60"/>
        <w:gridCol w:w="214"/>
        <w:gridCol w:w="1156"/>
        <w:gridCol w:w="95"/>
        <w:gridCol w:w="60"/>
        <w:gridCol w:w="314"/>
        <w:gridCol w:w="1700"/>
        <w:gridCol w:w="11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Total Stockholders’</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Balances –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(72,689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b/>
              </w:rPr>
            </w:pPr>
            <w:r>
              <w:rPr>
                <w:b/>
              </w:rPr>
              <w:t>$</w:t>
            </w:r>
          </w:p>
        </w:tc>
        <w:tc>
          <w:tcPr>
            <w:tcW w:w="1700" w:type="dxa"/>
            <w:tcBorders/>
            <w:shd w:fill="CCEEFF" w:val="clear"/>
            <w:vAlign w:val="center"/>
          </w:tcPr>
          <w:p>
            <w:pPr>
              <w:pStyle w:val="TableContents"/>
              <w:bidi w:val="0"/>
              <w:spacing w:before="0" w:after="283"/>
              <w:jc w:val="right"/>
              <w:rPr>
                <w:b/>
              </w:rPr>
            </w:pPr>
            <w:r>
              <w:rPr>
                <w:b/>
              </w:rPr>
              <w:t>(72,189</w:t>
            </w:r>
          </w:p>
        </w:tc>
        <w:tc>
          <w:tcPr>
            <w:tcW w:w="110" w:type="dxa"/>
            <w:tcBorders/>
            <w:shd w:fill="CCEEFF" w:val="clear"/>
            <w:vAlign w:val="center"/>
          </w:tcPr>
          <w:p>
            <w:pPr>
              <w:pStyle w:val="TableContents"/>
              <w:bidi w:val="0"/>
              <w:spacing w:before="0" w:after="283"/>
              <w:jc w:val="left"/>
              <w:rPr>
                <w:b/>
              </w:rPr>
            </w:pPr>
            <w:r>
              <w:rPr>
                <w:b/>
              </w:rPr>
              <w:t>)</w:t>
            </w:r>
          </w:p>
        </w:tc>
      </w:tr>
      <w:tr>
        <w:trPr/>
        <w:tc>
          <w:tcPr>
            <w:tcW w:w="30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(7,888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(7,888</w:t>
            </w:r>
          </w:p>
        </w:tc>
        <w:tc>
          <w:tcPr>
            <w:tcW w:w="11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Balances –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b/>
              </w:rPr>
            </w:pPr>
            <w:r>
              <w:rPr>
                <w:b/>
              </w:rPr>
              <w:t>(80,577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b/>
              </w:rPr>
            </w:pPr>
            <w:r>
              <w:rPr>
                <w:b/>
              </w:rPr>
              <w:t>(80,077</w:t>
            </w:r>
          </w:p>
        </w:tc>
        <w:tc>
          <w:tcPr>
            <w:tcW w:w="110" w:type="dxa"/>
            <w:tcBorders/>
            <w:shd w:fill="CCEEFF" w:val="clear"/>
            <w:vAlign w:val="center"/>
          </w:tcPr>
          <w:p>
            <w:pPr>
              <w:pStyle w:val="TableContents"/>
              <w:bidi w:val="0"/>
              <w:spacing w:before="0" w:after="283"/>
              <w:jc w:val="left"/>
              <w:rPr>
                <w:b/>
              </w:rPr>
            </w:pPr>
            <w:r>
              <w:rPr>
                <w:b/>
              </w:rPr>
              <w:t>)</w:t>
            </w:r>
          </w:p>
        </w:tc>
      </w:tr>
      <w:tr>
        <w:trPr/>
        <w:tc>
          <w:tcPr>
            <w:tcW w:w="30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(19,190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(19,190</w:t>
            </w:r>
          </w:p>
        </w:tc>
        <w:tc>
          <w:tcPr>
            <w:tcW w:w="11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Balances – June 30,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(99,767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7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(99,267</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2023</w:t>
      </w:r>
    </w:p>
    <w:p>
      <w:pPr>
        <w:pStyle w:val="TextBody"/>
        <w:bidi w:val="0"/>
        <w:spacing w:before="0" w:after="0"/>
        <w:ind w:left="108" w:right="0" w:hanging="0"/>
        <w:jc w:val="left"/>
        <w:rPr>
          <w:caps w:val="false"/>
          <w:smallCaps w:val="false"/>
        </w:rPr>
      </w:pPr>
      <w:r>
        <w:rPr>
          <w:caps w:val="false"/>
          <w:smallCaps w:val="false"/>
        </w:rPr>
        <w:t> </w:t>
      </w:r>
    </w:p>
    <w:tbl>
      <w:tblPr>
        <w:tblW w:w="8854" w:type="dxa"/>
        <w:jc w:val="left"/>
        <w:tblInd w:w="0" w:type="dxa"/>
        <w:tblLayout w:type="fixed"/>
        <w:tblCellMar>
          <w:top w:w="0" w:type="dxa"/>
          <w:left w:w="0" w:type="dxa"/>
          <w:bottom w:w="0" w:type="dxa"/>
          <w:right w:w="0" w:type="dxa"/>
        </w:tblCellMar>
      </w:tblPr>
      <w:tblGrid>
        <w:gridCol w:w="3005"/>
        <w:gridCol w:w="60"/>
        <w:gridCol w:w="60"/>
        <w:gridCol w:w="980"/>
        <w:gridCol w:w="60"/>
        <w:gridCol w:w="60"/>
        <w:gridCol w:w="231"/>
        <w:gridCol w:w="629"/>
        <w:gridCol w:w="60"/>
        <w:gridCol w:w="60"/>
        <w:gridCol w:w="188"/>
        <w:gridCol w:w="1182"/>
        <w:gridCol w:w="95"/>
        <w:gridCol w:w="60"/>
        <w:gridCol w:w="276"/>
        <w:gridCol w:w="1738"/>
        <w:gridCol w:w="11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Total Stockholders’</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Balances –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(124,043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b/>
              </w:rPr>
            </w:pPr>
            <w:r>
              <w:rPr>
                <w:b/>
              </w:rPr>
              <w:t>$</w:t>
            </w:r>
          </w:p>
        </w:tc>
        <w:tc>
          <w:tcPr>
            <w:tcW w:w="1738" w:type="dxa"/>
            <w:tcBorders/>
            <w:shd w:fill="CCEEFF" w:val="clear"/>
            <w:vAlign w:val="center"/>
          </w:tcPr>
          <w:p>
            <w:pPr>
              <w:pStyle w:val="TableContents"/>
              <w:bidi w:val="0"/>
              <w:spacing w:before="0" w:after="283"/>
              <w:jc w:val="right"/>
              <w:rPr>
                <w:b/>
              </w:rPr>
            </w:pPr>
            <w:r>
              <w:rPr>
                <w:b/>
              </w:rPr>
              <w:t>(123,543</w:t>
            </w:r>
          </w:p>
        </w:tc>
        <w:tc>
          <w:tcPr>
            <w:tcW w:w="110" w:type="dxa"/>
            <w:tcBorders/>
            <w:shd w:fill="CCEEFF" w:val="clear"/>
            <w:vAlign w:val="center"/>
          </w:tcPr>
          <w:p>
            <w:pPr>
              <w:pStyle w:val="TableContents"/>
              <w:bidi w:val="0"/>
              <w:spacing w:before="0" w:after="283"/>
              <w:jc w:val="left"/>
              <w:rPr>
                <w:b/>
              </w:rPr>
            </w:pPr>
            <w:r>
              <w:rPr>
                <w:b/>
              </w:rPr>
              <w:t>)</w:t>
            </w:r>
          </w:p>
        </w:tc>
      </w:tr>
      <w:tr>
        <w:trPr/>
        <w:tc>
          <w:tcPr>
            <w:tcW w:w="30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(11,482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38" w:type="dxa"/>
            <w:tcBorders>
              <w:bottom w:val="single" w:sz="12" w:space="0" w:color="000000"/>
            </w:tcBorders>
            <w:shd w:fill="FFFFFF" w:val="clear"/>
            <w:tcMar>
              <w:bottom w:w="28" w:type="dxa"/>
            </w:tcMar>
            <w:vAlign w:val="center"/>
          </w:tcPr>
          <w:p>
            <w:pPr>
              <w:pStyle w:val="TableContents"/>
              <w:bidi w:val="0"/>
              <w:spacing w:before="0" w:after="283"/>
              <w:jc w:val="right"/>
              <w:rPr/>
            </w:pPr>
            <w:r>
              <w:rPr/>
              <w:t>(11,482</w:t>
            </w:r>
          </w:p>
        </w:tc>
        <w:tc>
          <w:tcPr>
            <w:tcW w:w="11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Balances –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b/>
              </w:rPr>
            </w:pPr>
            <w:r>
              <w:rPr>
                <w:b/>
              </w:rPr>
              <w:t>(135,525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738" w:type="dxa"/>
            <w:tcBorders/>
            <w:shd w:fill="CCEEFF" w:val="clear"/>
            <w:vAlign w:val="center"/>
          </w:tcPr>
          <w:p>
            <w:pPr>
              <w:pStyle w:val="TableContents"/>
              <w:bidi w:val="0"/>
              <w:spacing w:before="0" w:after="283"/>
              <w:jc w:val="right"/>
              <w:rPr>
                <w:b/>
              </w:rPr>
            </w:pPr>
            <w:r>
              <w:rPr>
                <w:b/>
              </w:rPr>
              <w:t>(135,025</w:t>
            </w:r>
          </w:p>
        </w:tc>
        <w:tc>
          <w:tcPr>
            <w:tcW w:w="110" w:type="dxa"/>
            <w:tcBorders/>
            <w:shd w:fill="CCEEFF" w:val="clear"/>
            <w:vAlign w:val="center"/>
          </w:tcPr>
          <w:p>
            <w:pPr>
              <w:pStyle w:val="TableContents"/>
              <w:bidi w:val="0"/>
              <w:spacing w:before="0" w:after="283"/>
              <w:jc w:val="left"/>
              <w:rPr>
                <w:b/>
              </w:rPr>
            </w:pPr>
            <w:r>
              <w:rPr>
                <w:b/>
              </w:rPr>
              <w:t>)</w:t>
            </w:r>
          </w:p>
        </w:tc>
      </w:tr>
      <w:tr>
        <w:trPr/>
        <w:tc>
          <w:tcPr>
            <w:tcW w:w="30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(17,839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38" w:type="dxa"/>
            <w:tcBorders>
              <w:bottom w:val="single" w:sz="12" w:space="0" w:color="000000"/>
            </w:tcBorders>
            <w:shd w:fill="FFFFFF" w:val="clear"/>
            <w:tcMar>
              <w:bottom w:w="28" w:type="dxa"/>
            </w:tcMar>
            <w:vAlign w:val="center"/>
          </w:tcPr>
          <w:p>
            <w:pPr>
              <w:pStyle w:val="TableContents"/>
              <w:bidi w:val="0"/>
              <w:spacing w:before="0" w:after="283"/>
              <w:jc w:val="right"/>
              <w:rPr/>
            </w:pPr>
            <w:r>
              <w:rPr/>
              <w:t>(17,839</w:t>
            </w:r>
          </w:p>
        </w:tc>
        <w:tc>
          <w:tcPr>
            <w:tcW w:w="11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Balances –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(153,364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7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7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(152,864</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e_007"/>
      <w:bookmarkEnd w:id="55"/>
      <w:r>
        <w:rPr>
          <w:rFonts w:ascii="Times New Roman;Times;Serif" w:hAnsi="Times New Roman;Times;Serif"/>
          <w:b/>
          <w:i w:val="false"/>
          <w:caps w:val="false"/>
          <w:smallCaps w:val="false"/>
          <w:sz w:val="20"/>
        </w:rPr>
        <w:t>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5945"/>
        <w:gridCol w:w="60"/>
        <w:gridCol w:w="125"/>
        <w:gridCol w:w="650"/>
        <w:gridCol w:w="80"/>
        <w:gridCol w:w="60"/>
        <w:gridCol w:w="125"/>
        <w:gridCol w:w="650"/>
        <w:gridCol w:w="95"/>
      </w:tblGrid>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note payable - stockholder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 w:name="e_008"/>
      <w:bookmarkEnd w:id="56"/>
      <w:r>
        <w:rPr>
          <w:rFonts w:ascii="Times New Roman;Times;Serif" w:hAnsi="Times New Roman;Times;Serif"/>
          <w:b/>
          <w:i w:val="false"/>
          <w:caps w:val="false"/>
          <w:smallCaps w:val="false"/>
          <w:sz w:val="20"/>
        </w:rPr>
        <w:t>PATRICIA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w:t>
      </w:r>
      <w:r>
        <w:rPr>
          <w:rFonts w:ascii="Times New Roman;Times;Serif" w:hAnsi="Times New Roman;Times;Serif"/>
          <w:b/>
          <w:i w:val="false"/>
          <w:caps w:val="false"/>
          <w:smallCaps w:val="false"/>
          <w:sz w:val="20"/>
          <w:u w:val="single"/>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Acquisition Corp. (the “Company”) was incorporated in the State of Delaware on November 9, 2020. The Company’s management has chosen December 31st for its fiscal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organized as a vehicle to investigate and, if such investigation warrants, acquire a target company or business seeking the perceived advantages of being a publicly traded corporation. The Company’s principal business objective is to achieve long-term growth potential through a combination with a business, rather than immediate short-term earnings. The Company will not restrict its potential target companies to any specific business, industry, or geographical location. The analysis of business opportunities will be undertaken by, or under the supervision of, the officer and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val="false"/>
          <w:caps w:val="false"/>
          <w:smallCaps w:val="false"/>
          <w:sz w:val="20"/>
          <w:u w:val="single"/>
        </w:rPr>
        <w:t>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financial statements have been prepared in accordance with accounting principles generally accepted in the United States of America (“U.S.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U.S. GAAP have been condensed or omitted, pursuant to the rules and regulations of the SEC for interim financial reporting. Accordingly, they do not include all the information and footnotes necessary for a compete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condensed financial statements in conformity with U.S. GAAP requires the Company’s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deferred tax liabilities. The components of the deferred tax assets and liabilities are individually classified as current and non-current based on their characteristics. Deferred tax assets are reduced by a valuation allowance when, in the opinion of management, it is more likely than not that some portion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accrued interest and penalties related to unrecognized tax benefits as income tax expense. There were no unrecognized tax benefits and no amounts accrued for interest and penalties as of June 30, 2023 and December 31, 2022. The Company is currently not aware of any issues under review that could result in significant payments, accruals or material deviation from its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is computed by dividing net loss by the weighted average number of common shares outstanding for the period. Diluted earnings per share takes into effect any dilutive instruments, except when doing so would be anti-dilutive. As of June 30, 2023 and 2022, there were no dilutive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or the “JOBS Act”. As such, the Company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the Company’s periodic reports and proxy statements, and exemptions from the requirements of holding a non-binding advisory vote on executive compensation and stockholder approval of any golden parachute payments not previously approved. If some investors find the securities less attractive as a result, there may be a less active trading market for securities and the prices of securities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(that is, an “emerging growth company” can delay the adoption of certain accounting standards until those standards would otherwise apply to private companies). The Company intends to take advantage of the benefits of this extended transition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is a “smaller reporting company” as defined in Item 10(f)(1) of Regulation S-K. Smaller reporting companies may take advantage of certain reduced disclosure obligations, including, among other things, providing only two years of audited financial statements. The Company will remain a smaller reporting company until the last day of the fiscal year in which (1) the market value of the ordinary shares held by non-affiliates equals or exceeds $250 million as of the prior June 30, and (2) the annual revenues equaled or exceeded $100 million during such completed fiscal year or the market value of the ordinary shares held by non-affiliates equals or exceeds $700 million as of the prior June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yet effective accounting pronouncements, if adopted, would have a material effect on the accompanying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val="false"/>
          <w:caps w:val="false"/>
          <w:smallCaps w:val="false"/>
          <w:sz w:val="20"/>
          <w:u w:val="single"/>
        </w:rPr>
        <w:t>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December 31, 2022, the Company has 10,000,000 shares of preferred stock, par value of $0.0001, authorized and none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December 31, 2022, the Company has 50,000,000 shares of common stock, par value of $0.0001, authorized and has 5,000,000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w:t>
      </w:r>
      <w:r>
        <w:rPr>
          <w:rFonts w:ascii="Times New Roman;Times;Serif" w:hAnsi="Times New Roman;Times;Serif"/>
          <w:b/>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December 31, 2022, the Company has approximately $28,400 and $22,300, respectively, in gross deferred tax assets resulting from net operating loss carry-forwards of $135,000 and $106,000, respectively, available to offset future taxable income through 2041 subject to the change in ownership provisions under IRC 382. A valuation allowance has been recorded to fully offset these deferred tax assets because the Company’s management believes future realization of the related tax benefits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tax provision at the statutory federal income tax rate on June 30, 2023 and December 31, 2022, and the tax provisions attributable to loss before income taxes is as follows:</w:t>
      </w:r>
    </w:p>
    <w:p>
      <w:pPr>
        <w:pStyle w:val="TextBody"/>
        <w:bidi w:val="0"/>
        <w:spacing w:before="0" w:after="0"/>
        <w:ind w:left="0" w:right="0" w:hanging="0"/>
        <w:jc w:val="both"/>
        <w:rPr>
          <w:caps w:val="false"/>
          <w:smallCaps w:val="false"/>
        </w:rPr>
      </w:pPr>
      <w:r>
        <w:rPr>
          <w:caps w:val="false"/>
          <w:smallCaps w:val="false"/>
        </w:rPr>
        <w:t> </w:t>
      </w:r>
    </w:p>
    <w:tbl>
      <w:tblPr>
        <w:tblW w:w="5108" w:type="dxa"/>
        <w:jc w:val="left"/>
        <w:tblInd w:w="0" w:type="dxa"/>
        <w:tblLayout w:type="fixed"/>
        <w:tblCellMar>
          <w:top w:w="0" w:type="dxa"/>
          <w:left w:w="0" w:type="dxa"/>
          <w:bottom w:w="0" w:type="dxa"/>
          <w:right w:w="0" w:type="dxa"/>
        </w:tblCellMar>
      </w:tblPr>
      <w:tblGrid>
        <w:gridCol w:w="2495"/>
        <w:gridCol w:w="60"/>
        <w:gridCol w:w="92"/>
        <w:gridCol w:w="677"/>
        <w:gridCol w:w="245"/>
        <w:gridCol w:w="60"/>
        <w:gridCol w:w="146"/>
        <w:gridCol w:w="1073"/>
        <w:gridCol w:w="260"/>
      </w:tblGrid>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December 31, </w:t>
              <w:br/>
              <w:t>2022</w:t>
            </w:r>
          </w:p>
        </w:tc>
        <w:tc>
          <w:tcPr>
            <w:tcW w:w="260" w:type="dxa"/>
            <w:tcBorders/>
            <w:vAlign w:val="center"/>
          </w:tcPr>
          <w:p>
            <w:pPr>
              <w:pStyle w:val="TableContents"/>
              <w:bidi w:val="0"/>
              <w:spacing w:before="0" w:after="283"/>
              <w:jc w:val="center"/>
              <w:rPr/>
            </w:pPr>
            <w:r>
              <w:rPr/>
              <w:t> </w:t>
            </w:r>
          </w:p>
        </w:tc>
      </w:tr>
      <w:tr>
        <w:trPr/>
        <w:tc>
          <w:tcPr>
            <w:tcW w:w="2495" w:type="dxa"/>
            <w:tcBorders/>
            <w:shd w:fill="CCEEFF" w:val="clear"/>
            <w:vAlign w:val="center"/>
          </w:tcPr>
          <w:p>
            <w:pPr>
              <w:pStyle w:val="TableContents"/>
              <w:bidi w:val="0"/>
              <w:spacing w:before="0" w:after="283"/>
              <w:jc w:val="both"/>
              <w:rPr>
                <w:sz w:val="20"/>
              </w:rPr>
            </w:pPr>
            <w:r>
              <w:rPr>
                <w:sz w:val="20"/>
              </w:rPr>
              <w:t>Statutory federal income taxes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sz w:val="20"/>
              </w:rPr>
            </w:pPr>
            <w:r>
              <w:rPr>
                <w:sz w:val="20"/>
              </w:rPr>
              <w:t>21.0</w:t>
            </w:r>
          </w:p>
        </w:tc>
        <w:tc>
          <w:tcPr>
            <w:tcW w:w="24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sz w:val="20"/>
              </w:rPr>
            </w:pPr>
            <w:r>
              <w:rPr>
                <w:sz w:val="20"/>
              </w:rPr>
              <w:t>21.0</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2495" w:type="dxa"/>
            <w:tcBorders/>
            <w:shd w:fill="FFFFFF" w:val="clear"/>
            <w:vAlign w:val="center"/>
          </w:tcPr>
          <w:p>
            <w:pPr>
              <w:pStyle w:val="TableContents"/>
              <w:bidi w:val="0"/>
              <w:spacing w:before="0" w:after="283"/>
              <w:jc w:val="both"/>
              <w:rPr>
                <w:sz w:val="20"/>
              </w:rPr>
            </w:pPr>
            <w:r>
              <w:rPr>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7"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(21.0</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(21.0</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2495" w:type="dxa"/>
            <w:tcBorders/>
            <w:shd w:fill="CCEEFF" w:val="clear"/>
            <w:vAlign w:val="center"/>
          </w:tcPr>
          <w:p>
            <w:pPr>
              <w:pStyle w:val="TableContents"/>
              <w:bidi w:val="0"/>
              <w:spacing w:before="0" w:after="283"/>
              <w:jc w:val="both"/>
              <w:rPr>
                <w:sz w:val="20"/>
              </w:rPr>
            </w:pPr>
            <w:r>
              <w:rPr>
                <w:sz w:val="20"/>
              </w:rPr>
              <w:t>Effective income tax rate, net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7"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24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26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i w:val="false"/>
          <w:caps w:val="false"/>
          <w:smallCaps w:val="false"/>
          <w:sz w:val="20"/>
          <w:u w:val="single"/>
        </w:rPr>
        <w:t>Commitments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the office space and equipment of its management at no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Payable –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2020, the Company issued a promissory note (the “Note”) to the majority stockholder of the Company pursuant to which the Company agreed to repay the sum of any and all amounts advanced to the Company, on or before the date that the Company consummates a business combination with a private company or reverse takeover transaction or other transaction, after which the Company would cease to be a shell company. Interest shall not accrue on the outstanding principal amount of the note except if an Event of Default (as defined in the note) has occurred. In the event of an Event of Default, the entire note shall automatically become due and payable (the “Default Date”) and starting from five (5) days after the Default Date, the interest rate on the note shall accrue at the rate of eighteen percent (18%) per annum. As of June 30, 2023 and December 31, 2022, the amount due under the note payable was $151,500 and $114,000,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w:t>
      </w:r>
      <w:r>
        <w:rPr>
          <w:rFonts w:ascii="Times New Roman;Times;Serif" w:hAnsi="Times New Roman;Times;Serif"/>
          <w:b/>
          <w:i w:val="false"/>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the Company will continue as a going concern, which contemplates the recoverability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accumulated deficit and total stockholders’ deficit of $153,364 and $152,864, respectively, as of June 30, 2023. Management believes these conditions raise substantial doubt about the Company’s ability to continue as a going concern for the twelve months following the date these financial statements are issued. Management intends to finance operations over the next twelve months through additional borrowings on the existing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do not include any adjustments that might be required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val="false"/>
          <w:caps w:val="false"/>
          <w:smallCaps w:val="false"/>
          <w:sz w:val="20"/>
          <w:u w:val="single"/>
          <w:shd w:fill="FFFFFF" w:val="clear"/>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evaluated subsequent events and transactions that occurred up to the date the condensed financial statements were issued. Based upon this review, the Company did not identify any subsequent events that would have required adjustment or disclosure in the condensed financial statements, except as disclosed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July 31, 2023, the Company consummated the previously announced merger by and among the Company, a recently formed wholly-owned subsidiary of the Company (“Merger Sub”), and Serve Robotics Inc, a privately held Delaware corporation (“Serve”), pursuant to which Merger Sub would merge with and into Serve, with Serve continuing as the surviving entity (the “Merger”) and as the Company’s wholly-owned subsidiary, after which the Company would continue the business of Serve. The Merger occurred pursuant to that certain Agreement and Plan of Merger (the “Merger Agreement”) by and among the Company, Serve, and Merger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Serve is an autonomous sidewalk delivery company. The company designs, develops and operates low-emission robots that serve people in public spaces, starting with food delivery. Serve is headquartered in Redwood City,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Pursuant to the terms of the Merger Agreement, all outstanding equity interests of Serve converted into shares of our Common Stock, such that the holders of Serve equity before the Merger own a majority of the outstanding shares of our Common Stock after the Merger (before giving effect to a private placement offering of Common Stock by the Company that was consummated in connection with the Merger), resulting in a change of control of the Company.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information regarding the Merger and changes to the management and share ownership of the Company is set forth in the Current Report on Form 8-K filed by the Company with the SEC on August 4, 2023, as amended (the “Super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Common Stock private placement and related matters does not purport to be complete and is qualified in its entirety by the terms of the actual Merger Agreement and of terms and documentation for a private placement, which are filed with the SEC as exhibits to the Super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caps/>
        </w:rPr>
      </w:pPr>
      <w:r>
        <w:rPr>
          <w:caps/>
        </w:rPr>
        <w:t> </w:t>
      </w:r>
      <w:r>
        <w:rPr>
          <w:caps/>
        </w:rPr>
        <w:drawing>
          <wp:inline distT="0" distB="0" distL="0" distR="0">
            <wp:extent cx="2466975" cy="1095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66975" cy="1095375"/>
                    </a:xfrm>
                    <a:prstGeom prst="rect">
                      <a:avLst/>
                    </a:prstGeom>
                  </pic:spPr>
                </pic:pic>
              </a:graphicData>
            </a:graphic>
          </wp:inline>
        </w:drawing>
      </w:r>
    </w:p>
    <w:p>
      <w:pPr>
        <w:pStyle w:val="TextBody"/>
        <w:bidi w:val="0"/>
        <w:spacing w:before="0" w:after="0"/>
        <w:jc w:val="center"/>
        <w:rPr>
          <w:caps/>
        </w:rPr>
      </w:pPr>
      <w:r>
        <w:rPr>
          <w:caps/>
        </w:rPr>
        <w:t> </w:t>
      </w:r>
    </w:p>
    <w:p>
      <w:pPr>
        <w:pStyle w:val="TextBody"/>
        <w:bidi w:val="0"/>
        <w:spacing w:before="0" w:after="0"/>
        <w:jc w:val="center"/>
        <w:rPr>
          <w:caps/>
        </w:rPr>
      </w:pPr>
      <w:r>
        <w:rPr>
          <w:caps/>
        </w:rPr>
        <w:t> </w:t>
      </w:r>
    </w:p>
    <w:p>
      <w:pPr>
        <w:pStyle w:val="TextBody"/>
        <w:bidi w:val="0"/>
        <w:spacing w:before="0" w:after="0"/>
        <w:jc w:val="center"/>
        <w:rPr>
          <w:caps/>
        </w:rPr>
      </w:pPr>
      <w:r>
        <w:rPr>
          <w:caps/>
        </w:rPr>
        <w:t> </w:t>
      </w:r>
    </w:p>
    <w:p>
      <w:pPr>
        <w:pStyle w:val="TextBody"/>
        <w:bidi w:val="0"/>
        <w:spacing w:before="0" w:after="0"/>
        <w:jc w:val="center"/>
        <w:rPr>
          <w:caps/>
        </w:rPr>
      </w:pPr>
      <w:r>
        <w:rPr>
          <w:caps/>
        </w:rPr>
        <w:t> </w:t>
      </w:r>
    </w:p>
    <w:p>
      <w:pPr>
        <w:pStyle w:val="TextBody"/>
        <w:bidi w:val="0"/>
        <w:spacing w:before="0" w:after="0"/>
        <w:jc w:val="center"/>
        <w:rPr>
          <w:caps/>
        </w:rPr>
      </w:pPr>
      <w:r>
        <w:rPr>
          <w:caps/>
        </w:rPr>
        <w:t> </w:t>
      </w:r>
    </w:p>
    <w:p>
      <w:pPr>
        <w:pStyle w:val="TextBody"/>
        <w:bidi w:val="0"/>
        <w:spacing w:before="0" w:after="0"/>
        <w:jc w:val="center"/>
        <w:rPr>
          <w:caps/>
        </w:rPr>
      </w:pPr>
      <w:r>
        <w:rPr>
          <w:caps/>
        </w:rPr>
        <w:t> </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103391</Words>
  <Characters>560341</Characters>
  <CharactersWithSpaces>669111</CharactersWithSpaces>
  <Paragraphs>20265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