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0012.xml.htm"/>
      <w:bookmarkStart w:id="1" w:name="kswkform4_1791320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Parang Touraj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SERVE ROBOTICS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1360 BAYPORT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Serve Robotics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241,252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1,501,503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("RSU"). The RSU will vest as to 1/7th of the total number of shares on January 1, 2027 and 1/7th of the total number of shares on the same day of each quarter thereafter, subject to the Reporting Person's continuous service status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Jongmin Char, as attorney-in-fact for Touraj Parang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41" TargetMode="External"/><Relationship Id="rId5" Type="http://schemas.openxmlformats.org/officeDocument/2006/relationships/hyperlink" Target="http://www.sec.gov/cgi-bin/browse-edgar?action=getcompany&amp;CIK=00018324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3400</Characters>
  <CharactersWithSpaces>3962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