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As filed with the Securities and Exchange Commission on May 11, 2026</w:t>
      </w:r>
    </w:p>
    <w:p>
      <w:pPr>
        <w:spacing w:after="0" w:line="29" w:lineRule="exact"/>
        <w:rPr>
          <w:sz w:val="24"/>
          <w:szCs w:val="24"/>
          <w:color w:val="auto"/>
        </w:rPr>
      </w:pPr>
    </w:p>
    <w:p>
      <w:pPr>
        <w:ind w:left="9420"/>
        <w:spacing w:after="0"/>
        <w:rPr>
          <w:sz w:val="20"/>
          <w:szCs w:val="20"/>
          <w:color w:val="auto"/>
        </w:rPr>
      </w:pPr>
      <w:r>
        <w:rPr>
          <w:rFonts w:ascii="Times New Roman" w:cs="Times New Roman" w:eastAsia="Times New Roman" w:hAnsi="Times New Roman"/>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15327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35560</wp:posOffset>
            </wp:positionV>
            <wp:extent cx="71532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840" w:type="dxa"/>
            <w:vAlign w:val="bottom"/>
          </w:tcPr>
          <w:p>
            <w:pPr>
              <w:spacing w:after="0"/>
              <w:rPr>
                <w:sz w:val="15"/>
                <w:szCs w:val="15"/>
                <w:color w:val="auto"/>
              </w:rPr>
            </w:pPr>
          </w:p>
        </w:tc>
        <w:tc>
          <w:tcPr>
            <w:tcW w:w="7420" w:type="dxa"/>
            <w:vAlign w:val="bottom"/>
            <w:gridSpan w:val="3"/>
          </w:tcPr>
          <w:p>
            <w:pPr>
              <w:jc w:val="center"/>
              <w:ind w:right="3784"/>
              <w:spacing w:after="0"/>
              <w:rPr>
                <w:sz w:val="20"/>
                <w:szCs w:val="20"/>
                <w:color w:val="auto"/>
              </w:rPr>
            </w:pPr>
            <w:r>
              <w:rPr>
                <w:rFonts w:ascii="Times New Roman" w:cs="Times New Roman" w:eastAsia="Times New Roman" w:hAnsi="Times New Roman"/>
                <w:sz w:val="15"/>
                <w:szCs w:val="15"/>
                <w:b w:val="1"/>
                <w:bCs w:val="1"/>
                <w:color w:val="auto"/>
              </w:rPr>
              <w:t>UNITED STATES</w:t>
            </w:r>
          </w:p>
        </w:tc>
      </w:tr>
      <w:tr>
        <w:trPr>
          <w:trHeight w:val="183"/>
        </w:trPr>
        <w:tc>
          <w:tcPr>
            <w:tcW w:w="3840" w:type="dxa"/>
            <w:vAlign w:val="bottom"/>
          </w:tcPr>
          <w:p>
            <w:pPr>
              <w:spacing w:after="0"/>
              <w:rPr>
                <w:sz w:val="15"/>
                <w:szCs w:val="15"/>
                <w:color w:val="auto"/>
              </w:rPr>
            </w:pPr>
          </w:p>
        </w:tc>
        <w:tc>
          <w:tcPr>
            <w:tcW w:w="7420" w:type="dxa"/>
            <w:vAlign w:val="bottom"/>
            <w:gridSpan w:val="3"/>
          </w:tcPr>
          <w:p>
            <w:pPr>
              <w:jc w:val="center"/>
              <w:ind w:right="3784"/>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tc>
      </w:tr>
      <w:tr>
        <w:trPr>
          <w:trHeight w:val="202"/>
        </w:trPr>
        <w:tc>
          <w:tcPr>
            <w:tcW w:w="3840" w:type="dxa"/>
            <w:vAlign w:val="bottom"/>
          </w:tcPr>
          <w:p>
            <w:pPr>
              <w:spacing w:after="0"/>
              <w:rPr>
                <w:sz w:val="17"/>
                <w:szCs w:val="17"/>
                <w:color w:val="auto"/>
              </w:rPr>
            </w:pPr>
          </w:p>
        </w:tc>
        <w:tc>
          <w:tcPr>
            <w:tcW w:w="7420" w:type="dxa"/>
            <w:vAlign w:val="bottom"/>
            <w:gridSpan w:val="3"/>
          </w:tcPr>
          <w:p>
            <w:pPr>
              <w:jc w:val="center"/>
              <w:ind w:right="3764"/>
              <w:spacing w:after="0"/>
              <w:rPr>
                <w:sz w:val="20"/>
                <w:szCs w:val="20"/>
                <w:color w:val="auto"/>
              </w:rPr>
            </w:pPr>
            <w:r>
              <w:rPr>
                <w:rFonts w:ascii="Times New Roman" w:cs="Times New Roman" w:eastAsia="Times New Roman" w:hAnsi="Times New Roman"/>
                <w:sz w:val="15"/>
                <w:szCs w:val="15"/>
                <w:b w:val="1"/>
                <w:bCs w:val="1"/>
                <w:color w:val="auto"/>
              </w:rPr>
              <w:t>WASHINGTON, D.C. 20549</w:t>
            </w:r>
          </w:p>
        </w:tc>
      </w:tr>
      <w:tr>
        <w:trPr>
          <w:trHeight w:val="348"/>
        </w:trPr>
        <w:tc>
          <w:tcPr>
            <w:tcW w:w="3840" w:type="dxa"/>
            <w:vAlign w:val="bottom"/>
          </w:tcPr>
          <w:p>
            <w:pPr>
              <w:spacing w:after="0"/>
              <w:rPr>
                <w:sz w:val="24"/>
                <w:szCs w:val="24"/>
                <w:color w:val="auto"/>
              </w:rPr>
            </w:pPr>
          </w:p>
        </w:tc>
        <w:tc>
          <w:tcPr>
            <w:tcW w:w="7420" w:type="dxa"/>
            <w:vAlign w:val="bottom"/>
            <w:gridSpan w:val="3"/>
          </w:tcPr>
          <w:p>
            <w:pPr>
              <w:jc w:val="center"/>
              <w:ind w:right="3784"/>
              <w:spacing w:after="0"/>
              <w:rPr>
                <w:sz w:val="20"/>
                <w:szCs w:val="20"/>
                <w:color w:val="auto"/>
              </w:rPr>
            </w:pPr>
            <w:r>
              <w:rPr>
                <w:rFonts w:ascii="Times New Roman" w:cs="Times New Roman" w:eastAsia="Times New Roman" w:hAnsi="Times New Roman"/>
                <w:sz w:val="15"/>
                <w:szCs w:val="15"/>
                <w:b w:val="1"/>
                <w:bCs w:val="1"/>
                <w:color w:val="auto"/>
              </w:rPr>
              <w:t>FORM S-3</w:t>
            </w:r>
          </w:p>
        </w:tc>
      </w:tr>
      <w:tr>
        <w:trPr>
          <w:trHeight w:val="183"/>
        </w:trPr>
        <w:tc>
          <w:tcPr>
            <w:tcW w:w="3840" w:type="dxa"/>
            <w:vAlign w:val="bottom"/>
          </w:tcPr>
          <w:p>
            <w:pPr>
              <w:spacing w:after="0"/>
              <w:rPr>
                <w:sz w:val="15"/>
                <w:szCs w:val="15"/>
                <w:color w:val="auto"/>
              </w:rPr>
            </w:pPr>
          </w:p>
        </w:tc>
        <w:tc>
          <w:tcPr>
            <w:tcW w:w="7420" w:type="dxa"/>
            <w:vAlign w:val="bottom"/>
            <w:gridSpan w:val="3"/>
          </w:tcPr>
          <w:p>
            <w:pPr>
              <w:jc w:val="center"/>
              <w:ind w:right="3784"/>
              <w:spacing w:after="0"/>
              <w:rPr>
                <w:sz w:val="20"/>
                <w:szCs w:val="20"/>
                <w:color w:val="auto"/>
              </w:rPr>
            </w:pPr>
            <w:r>
              <w:rPr>
                <w:rFonts w:ascii="Times New Roman" w:cs="Times New Roman" w:eastAsia="Times New Roman" w:hAnsi="Times New Roman"/>
                <w:sz w:val="15"/>
                <w:szCs w:val="15"/>
                <w:b w:val="1"/>
                <w:bCs w:val="1"/>
                <w:color w:val="auto"/>
              </w:rPr>
              <w:t>REGISTRATION STATEMENT</w:t>
            </w:r>
          </w:p>
        </w:tc>
      </w:tr>
      <w:tr>
        <w:trPr>
          <w:trHeight w:val="183"/>
        </w:trPr>
        <w:tc>
          <w:tcPr>
            <w:tcW w:w="3840" w:type="dxa"/>
            <w:vAlign w:val="bottom"/>
          </w:tcPr>
          <w:p>
            <w:pPr>
              <w:spacing w:after="0"/>
              <w:rPr>
                <w:sz w:val="15"/>
                <w:szCs w:val="15"/>
                <w:color w:val="auto"/>
              </w:rPr>
            </w:pPr>
          </w:p>
        </w:tc>
        <w:tc>
          <w:tcPr>
            <w:tcW w:w="7420" w:type="dxa"/>
            <w:vAlign w:val="bottom"/>
            <w:gridSpan w:val="3"/>
          </w:tcPr>
          <w:p>
            <w:pPr>
              <w:jc w:val="center"/>
              <w:ind w:right="3764"/>
              <w:spacing w:after="0"/>
              <w:rPr>
                <w:sz w:val="20"/>
                <w:szCs w:val="20"/>
                <w:color w:val="auto"/>
              </w:rPr>
            </w:pPr>
            <w:r>
              <w:rPr>
                <w:rFonts w:ascii="Times New Roman" w:cs="Times New Roman" w:eastAsia="Times New Roman" w:hAnsi="Times New Roman"/>
                <w:sz w:val="15"/>
                <w:szCs w:val="15"/>
                <w:b w:val="1"/>
                <w:bCs w:val="1"/>
                <w:color w:val="auto"/>
              </w:rPr>
              <w:t>UNDER</w:t>
            </w:r>
          </w:p>
        </w:tc>
      </w:tr>
      <w:tr>
        <w:trPr>
          <w:trHeight w:val="202"/>
        </w:trPr>
        <w:tc>
          <w:tcPr>
            <w:tcW w:w="3840" w:type="dxa"/>
            <w:vAlign w:val="bottom"/>
          </w:tcPr>
          <w:p>
            <w:pPr>
              <w:spacing w:after="0"/>
              <w:rPr>
                <w:sz w:val="17"/>
                <w:szCs w:val="17"/>
                <w:color w:val="auto"/>
              </w:rPr>
            </w:pPr>
          </w:p>
        </w:tc>
        <w:tc>
          <w:tcPr>
            <w:tcW w:w="7420" w:type="dxa"/>
            <w:vAlign w:val="bottom"/>
            <w:gridSpan w:val="3"/>
          </w:tcPr>
          <w:p>
            <w:pPr>
              <w:jc w:val="center"/>
              <w:ind w:right="3784"/>
              <w:spacing w:after="0"/>
              <w:rPr>
                <w:sz w:val="20"/>
                <w:szCs w:val="20"/>
                <w:color w:val="auto"/>
              </w:rPr>
            </w:pPr>
            <w:r>
              <w:rPr>
                <w:rFonts w:ascii="Times New Roman" w:cs="Times New Roman" w:eastAsia="Times New Roman" w:hAnsi="Times New Roman"/>
                <w:sz w:val="15"/>
                <w:szCs w:val="15"/>
                <w:b w:val="1"/>
                <w:bCs w:val="1"/>
                <w:color w:val="auto"/>
              </w:rPr>
              <w:t>THE SECURITIES ACT OF 1933</w:t>
            </w:r>
          </w:p>
        </w:tc>
      </w:tr>
      <w:tr>
        <w:trPr>
          <w:trHeight w:val="348"/>
        </w:trPr>
        <w:tc>
          <w:tcPr>
            <w:tcW w:w="3840" w:type="dxa"/>
            <w:vAlign w:val="bottom"/>
          </w:tcPr>
          <w:p>
            <w:pPr>
              <w:spacing w:after="0"/>
              <w:rPr>
                <w:sz w:val="24"/>
                <w:szCs w:val="24"/>
                <w:color w:val="auto"/>
              </w:rPr>
            </w:pPr>
          </w:p>
        </w:tc>
        <w:tc>
          <w:tcPr>
            <w:tcW w:w="7420" w:type="dxa"/>
            <w:vAlign w:val="bottom"/>
            <w:gridSpan w:val="3"/>
          </w:tcPr>
          <w:p>
            <w:pPr>
              <w:jc w:val="center"/>
              <w:ind w:right="3764"/>
              <w:spacing w:after="0"/>
              <w:rPr>
                <w:sz w:val="20"/>
                <w:szCs w:val="20"/>
                <w:color w:val="auto"/>
              </w:rPr>
            </w:pPr>
            <w:r>
              <w:rPr>
                <w:rFonts w:ascii="Times New Roman" w:cs="Times New Roman" w:eastAsia="Times New Roman" w:hAnsi="Times New Roman"/>
                <w:sz w:val="15"/>
                <w:szCs w:val="15"/>
                <w:b w:val="1"/>
                <w:bCs w:val="1"/>
                <w:color w:val="auto"/>
              </w:rPr>
              <w:t>SERVE ROBOTICS INC.</w:t>
            </w:r>
          </w:p>
        </w:tc>
      </w:tr>
      <w:tr>
        <w:trPr>
          <w:trHeight w:val="202"/>
        </w:trPr>
        <w:tc>
          <w:tcPr>
            <w:tcW w:w="3840" w:type="dxa"/>
            <w:vAlign w:val="bottom"/>
          </w:tcPr>
          <w:p>
            <w:pPr>
              <w:spacing w:after="0"/>
              <w:rPr>
                <w:sz w:val="17"/>
                <w:szCs w:val="17"/>
                <w:color w:val="auto"/>
              </w:rPr>
            </w:pPr>
          </w:p>
        </w:tc>
        <w:tc>
          <w:tcPr>
            <w:tcW w:w="7420" w:type="dxa"/>
            <w:vAlign w:val="bottom"/>
            <w:gridSpan w:val="3"/>
          </w:tcPr>
          <w:p>
            <w:pPr>
              <w:jc w:val="center"/>
              <w:ind w:right="3784"/>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r>
      <w:tr>
        <w:trPr>
          <w:trHeight w:val="380"/>
        </w:trPr>
        <w:tc>
          <w:tcPr>
            <w:tcW w:w="3840" w:type="dxa"/>
            <w:vAlign w:val="bottom"/>
          </w:tcPr>
          <w:p>
            <w:pPr>
              <w:jc w:val="center"/>
              <w:ind w:left="158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7420" w:type="dxa"/>
            <w:vAlign w:val="bottom"/>
            <w:gridSpan w:val="3"/>
          </w:tcPr>
          <w:p>
            <w:pPr>
              <w:jc w:val="center"/>
              <w:ind w:left="1804"/>
              <w:spacing w:after="0"/>
              <w:rPr>
                <w:sz w:val="20"/>
                <w:szCs w:val="20"/>
                <w:color w:val="auto"/>
              </w:rPr>
            </w:pPr>
            <w:r>
              <w:rPr>
                <w:rFonts w:ascii="Times New Roman" w:cs="Times New Roman" w:eastAsia="Times New Roman" w:hAnsi="Times New Roman"/>
                <w:sz w:val="15"/>
                <w:szCs w:val="15"/>
                <w:b w:val="1"/>
                <w:bCs w:val="1"/>
                <w:color w:val="auto"/>
              </w:rPr>
              <w:t>85-3844872</w:t>
            </w:r>
          </w:p>
        </w:tc>
      </w:tr>
      <w:tr>
        <w:trPr>
          <w:trHeight w:val="165"/>
        </w:trPr>
        <w:tc>
          <w:tcPr>
            <w:tcW w:w="3840" w:type="dxa"/>
            <w:vAlign w:val="bottom"/>
            <w:tcBorders>
              <w:top w:val="single" w:sz="8" w:color="auto"/>
            </w:tcBorders>
          </w:tcPr>
          <w:p>
            <w:pPr>
              <w:jc w:val="center"/>
              <w:ind w:left="1584"/>
              <w:spacing w:after="0" w:line="164"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16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520" w:type="dxa"/>
            <w:vAlign w:val="bottom"/>
            <w:tcBorders>
              <w:top w:val="single" w:sz="8" w:color="auto"/>
            </w:tcBorders>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auto"/>
              </w:rPr>
              <w:t>(I.R.S. Employer</w:t>
            </w:r>
          </w:p>
        </w:tc>
      </w:tr>
      <w:tr>
        <w:trPr>
          <w:trHeight w:val="202"/>
        </w:trPr>
        <w:tc>
          <w:tcPr>
            <w:tcW w:w="3840" w:type="dxa"/>
            <w:vAlign w:val="bottom"/>
          </w:tcPr>
          <w:p>
            <w:pPr>
              <w:jc w:val="center"/>
              <w:ind w:left="1604"/>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Identification No.)</w:t>
            </w:r>
          </w:p>
        </w:tc>
      </w:tr>
    </w:tbl>
    <w:p>
      <w:pPr>
        <w:spacing w:after="0" w:line="164" w:lineRule="exact"/>
        <w:rPr>
          <w:sz w:val="24"/>
          <w:szCs w:val="24"/>
          <w:color w:val="auto"/>
        </w:rPr>
      </w:pPr>
    </w:p>
    <w:p>
      <w:pPr>
        <w:ind w:left="5420" w:hanging="263"/>
        <w:spacing w:after="0"/>
        <w:tabs>
          <w:tab w:leader="none" w:pos="5420" w:val="left"/>
        </w:tabs>
        <w:numPr>
          <w:ilvl w:val="0"/>
          <w:numId w:val="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Broadway</w:t>
      </w:r>
    </w:p>
    <w:p>
      <w:pPr>
        <w:spacing w:after="0" w:line="29" w:lineRule="exact"/>
        <w:rPr>
          <w:rFonts w:ascii="Times New Roman" w:cs="Times New Roman" w:eastAsia="Times New Roman" w:hAnsi="Times New Roman"/>
          <w:sz w:val="15"/>
          <w:szCs w:val="15"/>
          <w:b w:val="1"/>
          <w:bCs w:val="1"/>
          <w:color w:val="auto"/>
        </w:rPr>
      </w:pPr>
    </w:p>
    <w:p>
      <w:pPr>
        <w:ind w:left="480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Redwood City, CA 94063</w:t>
      </w:r>
    </w:p>
    <w:p>
      <w:pPr>
        <w:spacing w:after="0" w:line="10" w:lineRule="exact"/>
        <w:rPr>
          <w:rFonts w:ascii="Times New Roman" w:cs="Times New Roman" w:eastAsia="Times New Roman" w:hAnsi="Times New Roman"/>
          <w:sz w:val="15"/>
          <w:szCs w:val="15"/>
          <w:b w:val="1"/>
          <w:bCs w:val="1"/>
          <w:color w:val="auto"/>
        </w:rPr>
      </w:pPr>
    </w:p>
    <w:p>
      <w:pPr>
        <w:ind w:left="51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(818) 860-1352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(Address, including zip code, and telephone number, including area code, of registrant’s principal executive offices)</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Ali Kashani</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Chief Executive Officer</w:t>
      </w:r>
    </w:p>
    <w:p>
      <w:pPr>
        <w:spacing w:after="0" w:line="11" w:lineRule="exact"/>
        <w:rPr>
          <w:sz w:val="24"/>
          <w:szCs w:val="24"/>
          <w:color w:val="auto"/>
        </w:rPr>
      </w:pPr>
    </w:p>
    <w:p>
      <w:pPr>
        <w:ind w:left="5420" w:hanging="263"/>
        <w:spacing w:after="0"/>
        <w:tabs>
          <w:tab w:leader="none" w:pos="5420" w:val="left"/>
        </w:tabs>
        <w:numPr>
          <w:ilvl w:val="0"/>
          <w:numId w:val="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Broadway</w:t>
      </w:r>
    </w:p>
    <w:p>
      <w:pPr>
        <w:spacing w:after="0" w:line="10" w:lineRule="exact"/>
        <w:rPr>
          <w:rFonts w:ascii="Times New Roman" w:cs="Times New Roman" w:eastAsia="Times New Roman" w:hAnsi="Times New Roman"/>
          <w:sz w:val="15"/>
          <w:szCs w:val="15"/>
          <w:b w:val="1"/>
          <w:bCs w:val="1"/>
          <w:color w:val="auto"/>
        </w:rPr>
      </w:pPr>
    </w:p>
    <w:p>
      <w:pPr>
        <w:ind w:left="458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Redwood City, California 94063</w:t>
      </w:r>
    </w:p>
    <w:p>
      <w:pPr>
        <w:spacing w:after="0" w:line="10" w:lineRule="exact"/>
        <w:rPr>
          <w:rFonts w:ascii="Times New Roman" w:cs="Times New Roman" w:eastAsia="Times New Roman" w:hAnsi="Times New Roman"/>
          <w:sz w:val="15"/>
          <w:szCs w:val="15"/>
          <w:b w:val="1"/>
          <w:bCs w:val="1"/>
          <w:color w:val="auto"/>
        </w:rPr>
      </w:pPr>
    </w:p>
    <w:p>
      <w:pPr>
        <w:ind w:left="514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(818) 860-1352</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(Name, address, including zip code, and telephone number, including area code, of agent for service)</w:t>
      </w:r>
    </w:p>
    <w:p>
      <w:pPr>
        <w:spacing w:after="0" w:line="175" w:lineRule="exact"/>
        <w:rPr>
          <w:sz w:val="24"/>
          <w:szCs w:val="24"/>
          <w:color w:val="auto"/>
        </w:rPr>
      </w:pPr>
    </w:p>
    <w:tbl>
      <w:tblPr>
        <w:tblLayout w:type="fixed"/>
        <w:tblInd w:w="1640" w:type="dxa"/>
        <w:tblCellMar>
          <w:top w:w="0" w:type="dxa"/>
          <w:left w:w="0" w:type="dxa"/>
          <w:bottom w:w="0" w:type="dxa"/>
          <w:right w:w="0" w:type="dxa"/>
        </w:tblCellMar>
      </w:tblPr>
      <w:tr>
        <w:trPr>
          <w:trHeight w:val="202"/>
        </w:trPr>
        <w:tc>
          <w:tcPr>
            <w:tcW w:w="3020" w:type="dxa"/>
            <w:vAlign w:val="bottom"/>
          </w:tcPr>
          <w:p>
            <w:pPr>
              <w:spacing w:after="0"/>
              <w:rPr>
                <w:sz w:val="17"/>
                <w:szCs w:val="17"/>
                <w:color w:val="auto"/>
              </w:rPr>
            </w:pPr>
          </w:p>
        </w:tc>
        <w:tc>
          <w:tcPr>
            <w:tcW w:w="5160" w:type="dxa"/>
            <w:vAlign w:val="bottom"/>
          </w:tcPr>
          <w:p>
            <w:pPr>
              <w:ind w:left="700"/>
              <w:spacing w:after="0"/>
              <w:rPr>
                <w:sz w:val="20"/>
                <w:szCs w:val="20"/>
                <w:color w:val="auto"/>
              </w:rPr>
            </w:pPr>
            <w:r>
              <w:rPr>
                <w:rFonts w:ascii="Times New Roman" w:cs="Times New Roman" w:eastAsia="Times New Roman" w:hAnsi="Times New Roman"/>
                <w:sz w:val="15"/>
                <w:szCs w:val="15"/>
                <w:b w:val="1"/>
                <w:bCs w:val="1"/>
                <w:i w:val="1"/>
                <w:iCs w:val="1"/>
                <w:color w:val="auto"/>
              </w:rPr>
              <w:t>Copy to:</w:t>
            </w:r>
          </w:p>
        </w:tc>
      </w:tr>
      <w:tr>
        <w:trPr>
          <w:trHeight w:val="348"/>
        </w:trPr>
        <w:tc>
          <w:tcPr>
            <w:tcW w:w="3020" w:type="dxa"/>
            <w:vAlign w:val="bottom"/>
          </w:tcPr>
          <w:p>
            <w:pPr>
              <w:jc w:val="center"/>
              <w:ind w:right="564"/>
              <w:spacing w:after="0"/>
              <w:rPr>
                <w:sz w:val="20"/>
                <w:szCs w:val="20"/>
                <w:color w:val="auto"/>
              </w:rPr>
            </w:pPr>
            <w:r>
              <w:rPr>
                <w:rFonts w:ascii="Times New Roman" w:cs="Times New Roman" w:eastAsia="Times New Roman" w:hAnsi="Times New Roman"/>
                <w:sz w:val="15"/>
                <w:szCs w:val="15"/>
                <w:b w:val="1"/>
                <w:bCs w:val="1"/>
                <w:color w:val="auto"/>
              </w:rPr>
              <w:t>Albert Vanderlaan, Esq.</w:t>
            </w:r>
          </w:p>
        </w:tc>
        <w:tc>
          <w:tcPr>
            <w:tcW w:w="5160" w:type="dxa"/>
            <w:vAlign w:val="bottom"/>
          </w:tcPr>
          <w:p>
            <w:pPr>
              <w:jc w:val="center"/>
              <w:ind w:left="2324"/>
              <w:spacing w:after="0"/>
              <w:rPr>
                <w:sz w:val="20"/>
                <w:szCs w:val="20"/>
                <w:color w:val="auto"/>
              </w:rPr>
            </w:pPr>
            <w:r>
              <w:rPr>
                <w:rFonts w:ascii="Times New Roman" w:cs="Times New Roman" w:eastAsia="Times New Roman" w:hAnsi="Times New Roman"/>
                <w:sz w:val="15"/>
                <w:szCs w:val="15"/>
                <w:b w:val="1"/>
                <w:bCs w:val="1"/>
                <w:color w:val="auto"/>
              </w:rPr>
              <w:t>Evan Dunn</w:t>
            </w:r>
          </w:p>
        </w:tc>
      </w:tr>
      <w:tr>
        <w:trPr>
          <w:trHeight w:val="183"/>
        </w:trPr>
        <w:tc>
          <w:tcPr>
            <w:tcW w:w="3020" w:type="dxa"/>
            <w:vAlign w:val="bottom"/>
          </w:tcPr>
          <w:p>
            <w:pPr>
              <w:jc w:val="center"/>
              <w:ind w:right="604"/>
              <w:spacing w:after="0"/>
              <w:rPr>
                <w:sz w:val="20"/>
                <w:szCs w:val="20"/>
                <w:color w:val="auto"/>
              </w:rPr>
            </w:pPr>
            <w:r>
              <w:rPr>
                <w:rFonts w:ascii="Times New Roman" w:cs="Times New Roman" w:eastAsia="Times New Roman" w:hAnsi="Times New Roman"/>
                <w:sz w:val="15"/>
                <w:szCs w:val="15"/>
                <w:b w:val="1"/>
                <w:bCs w:val="1"/>
                <w:color w:val="auto"/>
              </w:rPr>
              <w:t>Orrick, Herrington &amp; Sutcliffe LLP</w:t>
            </w:r>
          </w:p>
        </w:tc>
        <w:tc>
          <w:tcPr>
            <w:tcW w:w="5160" w:type="dxa"/>
            <w:vAlign w:val="bottom"/>
          </w:tcPr>
          <w:p>
            <w:pPr>
              <w:jc w:val="center"/>
              <w:ind w:left="2324"/>
              <w:spacing w:after="0"/>
              <w:rPr>
                <w:sz w:val="20"/>
                <w:szCs w:val="20"/>
                <w:color w:val="auto"/>
              </w:rPr>
            </w:pPr>
            <w:r>
              <w:rPr>
                <w:rFonts w:ascii="Times New Roman" w:cs="Times New Roman" w:eastAsia="Times New Roman" w:hAnsi="Times New Roman"/>
                <w:sz w:val="15"/>
                <w:szCs w:val="15"/>
                <w:b w:val="1"/>
                <w:bCs w:val="1"/>
                <w:color w:val="auto"/>
              </w:rPr>
              <w:t>General Counsel and Corporate Secretary</w:t>
            </w:r>
          </w:p>
        </w:tc>
      </w:tr>
      <w:tr>
        <w:trPr>
          <w:trHeight w:val="183"/>
        </w:trPr>
        <w:tc>
          <w:tcPr>
            <w:tcW w:w="3020" w:type="dxa"/>
            <w:vAlign w:val="bottom"/>
          </w:tcPr>
          <w:p>
            <w:pPr>
              <w:jc w:val="center"/>
              <w:ind w:right="604"/>
              <w:spacing w:after="0"/>
              <w:rPr>
                <w:sz w:val="20"/>
                <w:szCs w:val="20"/>
                <w:color w:val="auto"/>
              </w:rPr>
            </w:pPr>
            <w:r>
              <w:rPr>
                <w:rFonts w:ascii="Times New Roman" w:cs="Times New Roman" w:eastAsia="Times New Roman" w:hAnsi="Times New Roman"/>
                <w:sz w:val="15"/>
                <w:szCs w:val="15"/>
                <w:b w:val="1"/>
                <w:bCs w:val="1"/>
                <w:color w:val="auto"/>
              </w:rPr>
              <w:t>222 Berkeley St., Suite 2000</w:t>
            </w:r>
          </w:p>
        </w:tc>
        <w:tc>
          <w:tcPr>
            <w:tcW w:w="5160" w:type="dxa"/>
            <w:vAlign w:val="bottom"/>
          </w:tcPr>
          <w:p>
            <w:pPr>
              <w:jc w:val="center"/>
              <w:ind w:left="2324"/>
              <w:spacing w:after="0"/>
              <w:rPr>
                <w:sz w:val="20"/>
                <w:szCs w:val="20"/>
                <w:color w:val="auto"/>
              </w:rPr>
            </w:pPr>
            <w:r>
              <w:rPr>
                <w:rFonts w:ascii="Times New Roman" w:cs="Times New Roman" w:eastAsia="Times New Roman" w:hAnsi="Times New Roman"/>
                <w:sz w:val="15"/>
                <w:szCs w:val="15"/>
                <w:b w:val="1"/>
                <w:bCs w:val="1"/>
                <w:color w:val="auto"/>
                <w:w w:val="99"/>
              </w:rPr>
              <w:t>730 Broadway</w:t>
            </w:r>
          </w:p>
        </w:tc>
      </w:tr>
      <w:tr>
        <w:trPr>
          <w:trHeight w:val="183"/>
        </w:trPr>
        <w:tc>
          <w:tcPr>
            <w:tcW w:w="3020" w:type="dxa"/>
            <w:vAlign w:val="bottom"/>
          </w:tcPr>
          <w:p>
            <w:pPr>
              <w:jc w:val="center"/>
              <w:ind w:right="604"/>
              <w:spacing w:after="0"/>
              <w:rPr>
                <w:sz w:val="20"/>
                <w:szCs w:val="20"/>
                <w:color w:val="auto"/>
              </w:rPr>
            </w:pPr>
            <w:r>
              <w:rPr>
                <w:rFonts w:ascii="Times New Roman" w:cs="Times New Roman" w:eastAsia="Times New Roman" w:hAnsi="Times New Roman"/>
                <w:sz w:val="15"/>
                <w:szCs w:val="15"/>
                <w:b w:val="1"/>
                <w:bCs w:val="1"/>
                <w:color w:val="auto"/>
              </w:rPr>
              <w:t>Boston, MA 02116</w:t>
            </w:r>
          </w:p>
        </w:tc>
        <w:tc>
          <w:tcPr>
            <w:tcW w:w="5160" w:type="dxa"/>
            <w:vAlign w:val="bottom"/>
          </w:tcPr>
          <w:p>
            <w:pPr>
              <w:jc w:val="center"/>
              <w:ind w:left="2324"/>
              <w:spacing w:after="0"/>
              <w:rPr>
                <w:sz w:val="20"/>
                <w:szCs w:val="20"/>
                <w:color w:val="auto"/>
              </w:rPr>
            </w:pPr>
            <w:r>
              <w:rPr>
                <w:rFonts w:ascii="Times New Roman" w:cs="Times New Roman" w:eastAsia="Times New Roman" w:hAnsi="Times New Roman"/>
                <w:sz w:val="15"/>
                <w:szCs w:val="15"/>
                <w:b w:val="1"/>
                <w:bCs w:val="1"/>
                <w:color w:val="auto"/>
              </w:rPr>
              <w:t>Redwood City, California 94063</w:t>
            </w:r>
          </w:p>
        </w:tc>
      </w:tr>
      <w:tr>
        <w:trPr>
          <w:trHeight w:val="202"/>
        </w:trPr>
        <w:tc>
          <w:tcPr>
            <w:tcW w:w="3020" w:type="dxa"/>
            <w:vAlign w:val="bottom"/>
          </w:tcPr>
          <w:p>
            <w:pPr>
              <w:jc w:val="center"/>
              <w:ind w:right="604"/>
              <w:spacing w:after="0"/>
              <w:rPr>
                <w:sz w:val="20"/>
                <w:szCs w:val="20"/>
                <w:color w:val="auto"/>
              </w:rPr>
            </w:pPr>
            <w:r>
              <w:rPr>
                <w:rFonts w:ascii="Times New Roman" w:cs="Times New Roman" w:eastAsia="Times New Roman" w:hAnsi="Times New Roman"/>
                <w:sz w:val="15"/>
                <w:szCs w:val="15"/>
                <w:b w:val="1"/>
                <w:bCs w:val="1"/>
                <w:color w:val="auto"/>
              </w:rPr>
              <w:t>(617) 880-2219</w:t>
            </w:r>
          </w:p>
        </w:tc>
        <w:tc>
          <w:tcPr>
            <w:tcW w:w="5160" w:type="dxa"/>
            <w:vAlign w:val="bottom"/>
          </w:tcPr>
          <w:p>
            <w:pPr>
              <w:jc w:val="center"/>
              <w:ind w:left="2324"/>
              <w:spacing w:after="0"/>
              <w:rPr>
                <w:sz w:val="20"/>
                <w:szCs w:val="20"/>
                <w:color w:val="auto"/>
              </w:rPr>
            </w:pPr>
            <w:r>
              <w:rPr>
                <w:rFonts w:ascii="Times New Roman" w:cs="Times New Roman" w:eastAsia="Times New Roman" w:hAnsi="Times New Roman"/>
                <w:sz w:val="15"/>
                <w:szCs w:val="15"/>
                <w:b w:val="1"/>
                <w:bCs w:val="1"/>
                <w:color w:val="auto"/>
              </w:rPr>
              <w:t>(818) 860-1352</w:t>
            </w:r>
          </w:p>
        </w:tc>
      </w:tr>
    </w:tbl>
    <w:p>
      <w:pPr>
        <w:spacing w:after="0" w:line="164"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w:t>
      </w:r>
      <w:r>
        <w:rPr>
          <w:rFonts w:ascii="Times New Roman" w:cs="Times New Roman" w:eastAsia="Times New Roman" w:hAnsi="Times New Roman"/>
          <w:sz w:val="15"/>
          <w:szCs w:val="15"/>
          <w:color w:val="auto"/>
        </w:rPr>
        <w:t>: From time to time after the effective date of this registration statement as determined by the registrant.</w:t>
      </w:r>
    </w:p>
    <w:p>
      <w:pPr>
        <w:spacing w:after="0" w:line="162" w:lineRule="exact"/>
        <w:rPr>
          <w:sz w:val="24"/>
          <w:szCs w:val="24"/>
          <w:color w:val="auto"/>
        </w:rPr>
      </w:pPr>
    </w:p>
    <w:p>
      <w:pPr>
        <w:ind w:left="540"/>
        <w:spacing w:after="0" w:line="173"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229" w:lineRule="exact"/>
        <w:rPr>
          <w:sz w:val="24"/>
          <w:szCs w:val="24"/>
          <w:color w:val="auto"/>
        </w:rPr>
      </w:pPr>
    </w:p>
    <w:p>
      <w:pPr>
        <w:ind w:right="440"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46" w:lineRule="exact"/>
        <w:rPr>
          <w:sz w:val="24"/>
          <w:szCs w:val="24"/>
          <w:color w:val="auto"/>
        </w:rPr>
      </w:pPr>
    </w:p>
    <w:p>
      <w:pPr>
        <w:ind w:right="120"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6" w:lineRule="exact"/>
        <w:rPr>
          <w:sz w:val="24"/>
          <w:szCs w:val="24"/>
          <w:color w:val="auto"/>
        </w:rPr>
      </w:pPr>
    </w:p>
    <w:p>
      <w:pPr>
        <w:ind w:right="300"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46" w:lineRule="exact"/>
        <w:rPr>
          <w:sz w:val="24"/>
          <w:szCs w:val="24"/>
          <w:color w:val="auto"/>
        </w:rPr>
      </w:pPr>
    </w:p>
    <w:p>
      <w:pPr>
        <w:ind w:right="80"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46" w:lineRule="exact"/>
        <w:rPr>
          <w:sz w:val="24"/>
          <w:szCs w:val="24"/>
          <w:color w:val="auto"/>
        </w:rPr>
      </w:pPr>
    </w:p>
    <w:p>
      <w:pPr>
        <w:ind w:right="300"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46" w:lineRule="exact"/>
        <w:rPr>
          <w:sz w:val="24"/>
          <w:szCs w:val="24"/>
          <w:color w:val="auto"/>
        </w:rPr>
      </w:pPr>
    </w:p>
    <w:p>
      <w:pPr>
        <w:ind w:right="380" w:firstLine="549"/>
        <w:spacing w:after="0" w:line="29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200" w:type="dxa"/>
            <w:vAlign w:val="bottom"/>
          </w:tcPr>
          <w:p>
            <w:pPr>
              <w:ind w:left="100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Accelerated filer</w:t>
            </w:r>
          </w:p>
        </w:tc>
        <w:tc>
          <w:tcPr>
            <w:tcW w:w="98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3"/>
        </w:trPr>
        <w:tc>
          <w:tcPr>
            <w:tcW w:w="23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200" w:type="dxa"/>
            <w:vAlign w:val="bottom"/>
          </w:tcPr>
          <w:p>
            <w:pPr>
              <w:ind w:left="100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98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8"/>
        </w:trPr>
        <w:tc>
          <w:tcPr>
            <w:tcW w:w="23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3580" w:type="dxa"/>
            <w:vAlign w:val="bottom"/>
          </w:tcPr>
          <w:p>
            <w:pPr>
              <w:ind w:left="1060"/>
              <w:spacing w:after="0"/>
              <w:rPr>
                <w:sz w:val="20"/>
                <w:szCs w:val="20"/>
                <w:color w:val="auto"/>
              </w:rPr>
            </w:pPr>
            <w:r>
              <w:rPr>
                <w:rFonts w:ascii="Times New Roman" w:cs="Times New Roman" w:eastAsia="Times New Roman" w:hAnsi="Times New Roman"/>
                <w:sz w:val="15"/>
                <w:szCs w:val="15"/>
                <w:color w:val="auto"/>
              </w:rPr>
              <w:t>Emerging growth company</w:t>
            </w:r>
          </w:p>
        </w:tc>
        <w:tc>
          <w:tcPr>
            <w:tcW w:w="980" w:type="dxa"/>
            <w:vAlign w:val="bottom"/>
          </w:tcPr>
          <w:p>
            <w:pPr>
              <w:ind w:left="8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40" w:lineRule="exact"/>
        <w:rPr>
          <w:sz w:val="24"/>
          <w:szCs w:val="24"/>
          <w:color w:val="auto"/>
        </w:rPr>
      </w:pPr>
    </w:p>
    <w:p>
      <w:pPr>
        <w:ind w:right="120" w:firstLine="549"/>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142" w:lineRule="exact"/>
        <w:rPr>
          <w:sz w:val="24"/>
          <w:szCs w:val="24"/>
          <w:color w:val="auto"/>
        </w:rPr>
      </w:pPr>
    </w:p>
    <w:p>
      <w:pPr>
        <w:ind w:right="60" w:firstLine="549"/>
        <w:spacing w:after="0" w:line="275"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100330</wp:posOffset>
            </wp:positionV>
            <wp:extent cx="71532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122555</wp:posOffset>
            </wp:positionV>
            <wp:extent cx="7153275"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384175</wp:posOffset>
            </wp:positionV>
            <wp:extent cx="7153275"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212"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198"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The registrant currently has a Registration Statement on Form S-3 (File No. 333-285614) (the “Current S-3”), initially filed with the U.S. Securities and Exchange Commission (the “SEC”) on March 6, 2025 and declared effective on March 14, 2025, with approximately $108.8 million of unsold securities previously registered on the base prospectus of the Current S-3 covering the offer, issuance and sale of the registrant’s common stock, preferred stock, debt securities, warrants and/or units (the “Unsold Securities”), which are being carried forward and included in this registration statement. The filing fee of $16,657.65 associated with such Unsold Securities (which amount is based on the filing fee rate in effect at the time of the filing of the Current S-3) is hereby carried forward to be applied to the Unsold Securities and no additional filing fee is due with respect to such Unsold Securities in connection with the filing of this registration statement. In accordance with Rule 415(a)(6) under the Securities Act of 1933, as amended, the offering of securities on the Current S-3 will be deemed terminated as of the date of effectiveness of this registration statement.</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registration statement contains:</w:t>
      </w:r>
    </w:p>
    <w:p>
      <w:pPr>
        <w:spacing w:after="0" w:line="194" w:lineRule="exact"/>
        <w:rPr>
          <w:sz w:val="20"/>
          <w:szCs w:val="20"/>
          <w:color w:val="auto"/>
        </w:rPr>
      </w:pPr>
    </w:p>
    <w:p>
      <w:pPr>
        <w:ind w:left="820" w:right="120" w:hanging="279"/>
        <w:spacing w:after="0" w:line="290" w:lineRule="auto"/>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base prospectus which covers the offering, issuance and sale by Serve Robotics Inc. (the “Company”) of up to a maximum aggregate offering price of $300,000,000 of the registrant’s common stock, preferred stock, debt securities, warrants, rights and/or units from time to time in one or more offerings; and</w:t>
      </w:r>
    </w:p>
    <w:p>
      <w:pPr>
        <w:spacing w:after="0" w:line="132" w:lineRule="exact"/>
        <w:rPr>
          <w:rFonts w:ascii="Times New Roman" w:cs="Times New Roman" w:eastAsia="Times New Roman" w:hAnsi="Times New Roman"/>
          <w:sz w:val="15"/>
          <w:szCs w:val="15"/>
          <w:color w:val="auto"/>
        </w:rPr>
      </w:pPr>
    </w:p>
    <w:p>
      <w:pPr>
        <w:ind w:left="820" w:right="220" w:hanging="279"/>
        <w:spacing w:after="0" w:line="272" w:lineRule="auto"/>
        <w:tabs>
          <w:tab w:leader="none" w:pos="82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prospectus supplement covering the offering, issuance and sale by the registrant of up to a maximum aggregate offering price of $150,000,000 of the registrant’s common stock that may be issued and sold under a Sales Agreement (the “Sales Agreement”), entered into with Evercore Group L.L.C., Guggenheim Securities, LLC, Oppenheimer &amp; Co. Inc., Northland Securities, Inc. and Wedbush Securities Inc. (each an “Agent” and collectively, the “Agents”).</w:t>
      </w:r>
    </w:p>
    <w:p>
      <w:pPr>
        <w:spacing w:after="0" w:line="146"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The base prospectus immediately follows this explanatory note. The specific terms of any securities to be offered pursuant to the base prospectus will be specified in a prospectus supplement to the base prospectus. The specific terms of the securities to be issued and sold under the Sales Agreement are specified in the prospectus supplement that immediately follows the base prospectus. The $150,000,000 of our common stock that may be offered, issued and sold under the prospectus supplement is included in the $300,000,000 of securities that may be offered, issued and sold by the registrant pursuant to this registration statement. Upon termination of the Sales Agreement with the Agents, any portion of the $150,000,000 included in the prospectus supplement that is not sold pursuant to the Sales Agreement will be available for sale in other offerings pursuant to the base prospectus and a corresponding prospectus supplement, and if no shares are sold under the Sales Agreement, the full $150,000,000 of securities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356235</wp:posOffset>
            </wp:positionV>
            <wp:extent cx="7153275"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2" w:name="page3"/>
    <w:bookmarkEnd w:id="2"/>
    <w:p>
      <w:pPr>
        <w:ind w:right="60"/>
        <w:spacing w:after="0" w:line="275" w:lineRule="auto"/>
        <w:rPr>
          <w:sz w:val="20"/>
          <w:szCs w:val="20"/>
          <w:color w:val="auto"/>
        </w:rPr>
      </w:pPr>
      <w:r>
        <w:rPr>
          <w:rFonts w:ascii="Times New Roman" w:cs="Times New Roman" w:eastAsia="Times New Roman" w:hAnsi="Times New Roman"/>
          <w:sz w:val="15"/>
          <w:szCs w:val="15"/>
          <w:b w:val="1"/>
          <w:bCs w:val="1"/>
          <w:color w:val="FF0000"/>
        </w:rPr>
        <w:t>The information in this base prospectus is not complete and may be changed. We may not sell these securities until the registration statement filed with the U.S. Securities and Exchange Commission is effective. This base prospectus is not an offer to sell these securities, and we are not soliciting offers to buy these securities, in any state or other jurisdiction where the offer or sale is not permitted.</w:t>
      </w:r>
    </w:p>
    <w:p>
      <w:pPr>
        <w:spacing w:after="0" w:line="140" w:lineRule="exact"/>
        <w:rPr>
          <w:sz w:val="20"/>
          <w:szCs w:val="20"/>
          <w:color w:val="auto"/>
        </w:rPr>
      </w:pPr>
    </w:p>
    <w:tbl>
      <w:tblPr>
        <w:tblLayout w:type="fixed"/>
        <w:tblInd w:w="3880" w:type="dxa"/>
        <w:tblCellMar>
          <w:top w:w="0" w:type="dxa"/>
          <w:left w:w="0" w:type="dxa"/>
          <w:bottom w:w="0" w:type="dxa"/>
          <w:right w:w="0" w:type="dxa"/>
        </w:tblCellMar>
      </w:tblPr>
      <w:tr>
        <w:trPr>
          <w:trHeight w:val="202"/>
        </w:trPr>
        <w:tc>
          <w:tcPr>
            <w:tcW w:w="2880" w:type="dxa"/>
            <w:vAlign w:val="bottom"/>
          </w:tcPr>
          <w:p>
            <w:pPr>
              <w:spacing w:after="0"/>
              <w:rPr>
                <w:sz w:val="20"/>
                <w:szCs w:val="20"/>
                <w:color w:val="auto"/>
              </w:rPr>
            </w:pPr>
            <w:r>
              <w:rPr>
                <w:rFonts w:ascii="Times New Roman" w:cs="Times New Roman" w:eastAsia="Times New Roman" w:hAnsi="Times New Roman"/>
                <w:sz w:val="15"/>
                <w:szCs w:val="15"/>
                <w:b w:val="1"/>
                <w:bCs w:val="1"/>
                <w:color w:val="FF0000"/>
              </w:rPr>
              <w:t>SUBJECT TO COMPLETION, DATED</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FF0000"/>
              </w:rPr>
              <w:t>, 2026</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18415</wp:posOffset>
            </wp:positionV>
            <wp:extent cx="1555750" cy="581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5750" cy="58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Rights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Units</w:t>
      </w:r>
    </w:p>
    <w:p>
      <w:pPr>
        <w:spacing w:after="0" w:line="179" w:lineRule="exact"/>
        <w:rPr>
          <w:sz w:val="20"/>
          <w:szCs w:val="20"/>
          <w:color w:val="auto"/>
        </w:rPr>
      </w:pPr>
    </w:p>
    <w:p>
      <w:pPr>
        <w:ind w:right="220" w:firstLine="549"/>
        <w:spacing w:after="0" w:line="290" w:lineRule="auto"/>
        <w:rPr>
          <w:sz w:val="20"/>
          <w:szCs w:val="20"/>
          <w:color w:val="auto"/>
        </w:rPr>
      </w:pPr>
      <w:r>
        <w:rPr>
          <w:rFonts w:ascii="Times New Roman" w:cs="Times New Roman" w:eastAsia="Times New Roman" w:hAnsi="Times New Roman"/>
          <w:sz w:val="15"/>
          <w:szCs w:val="15"/>
          <w:color w:val="auto"/>
        </w:rPr>
        <w:t>From time to time, we may offer and sell, in one or more offerings, in amounts, at prices and on terms determined at the time of any such offering, common stock, preferred stock, debt securities, warrants or rights, either individually or in units, with a total value of up to $300,000,000.</w:t>
      </w:r>
    </w:p>
    <w:p>
      <w:pPr>
        <w:spacing w:after="0" w:line="133" w:lineRule="exact"/>
        <w:rPr>
          <w:sz w:val="20"/>
          <w:szCs w:val="20"/>
          <w:color w:val="auto"/>
        </w:rPr>
      </w:pPr>
    </w:p>
    <w:p>
      <w:pPr>
        <w:ind w:right="360" w:firstLine="549"/>
        <w:spacing w:after="0" w:line="263" w:lineRule="auto"/>
        <w:rPr>
          <w:sz w:val="20"/>
          <w:szCs w:val="20"/>
          <w:color w:val="auto"/>
        </w:rPr>
      </w:pPr>
      <w:r>
        <w:rPr>
          <w:rFonts w:ascii="Times New Roman" w:cs="Times New Roman" w:eastAsia="Times New Roman" w:hAnsi="Times New Roman"/>
          <w:sz w:val="15"/>
          <w:szCs w:val="15"/>
          <w:color w:val="auto"/>
        </w:rPr>
        <w:t>This base prospectus describes some of the general terms that may apply to these securities. Each time securities are sold, the specific terms and amounts of the securities being offered, and any other information relating to the specific offering will be set forth in a supplement to this base prospectus. We may also authorize one or more free writing prospectuses to be provided to you in connection with these offerings. The prospectus supplement and any related free writing prospectus may also supplement, update or amend information contained in this base prospectus. You should read this base prospectus, the applicable prospectus supplement and any related free writing prospectus, as well as any documents incorporated by reference, before you invest in any of the securities being offered.</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THIS BASE PROSPECTUS MAY NOT BE USED TO OFFER AND SELL SECURITIES UNLESS ACCOMPANIED BY A PROSPECTUS SUPPLEMENT.</w:t>
      </w:r>
    </w:p>
    <w:p>
      <w:pPr>
        <w:spacing w:after="0" w:line="198" w:lineRule="exact"/>
        <w:rPr>
          <w:sz w:val="20"/>
          <w:szCs w:val="20"/>
          <w:color w:val="auto"/>
        </w:rPr>
      </w:pPr>
    </w:p>
    <w:p>
      <w:pPr>
        <w:ind w:right="80" w:firstLine="549"/>
        <w:spacing w:after="0" w:line="290" w:lineRule="auto"/>
        <w:rPr>
          <w:sz w:val="20"/>
          <w:szCs w:val="20"/>
          <w:color w:val="auto"/>
        </w:rPr>
      </w:pPr>
      <w:r>
        <w:rPr>
          <w:rFonts w:ascii="Times New Roman" w:cs="Times New Roman" w:eastAsia="Times New Roman" w:hAnsi="Times New Roman"/>
          <w:sz w:val="15"/>
          <w:szCs w:val="15"/>
          <w:color w:val="auto"/>
        </w:rPr>
        <w:t>Our common stock trades on The Nasdaq Capital Market under the symbol “SERV.” On May 5, 2026, the last reported sale price of the common stock on The Nasdaq Capital Market was $9.14 per share.</w:t>
      </w:r>
    </w:p>
    <w:p>
      <w:pPr>
        <w:spacing w:after="0" w:line="133" w:lineRule="exact"/>
        <w:rPr>
          <w:sz w:val="20"/>
          <w:szCs w:val="20"/>
          <w:color w:val="auto"/>
        </w:rPr>
      </w:pPr>
    </w:p>
    <w:p>
      <w:pPr>
        <w:ind w:right="180" w:firstLine="549"/>
        <w:spacing w:after="0" w:line="266" w:lineRule="auto"/>
        <w:rPr>
          <w:sz w:val="20"/>
          <w:szCs w:val="20"/>
          <w:color w:val="auto"/>
        </w:rPr>
      </w:pPr>
      <w:r>
        <w:rPr>
          <w:rFonts w:ascii="Times New Roman" w:cs="Times New Roman" w:eastAsia="Times New Roman" w:hAnsi="Times New Roman"/>
          <w:sz w:val="15"/>
          <w:szCs w:val="15"/>
          <w:color w:val="auto"/>
        </w:rPr>
        <w:t>We may offer the securities from time to time in amounts, at prices and on terms determined at the time of offering. We may offer and sell the securities directly to you, through agents we select or through underwriters and dealers we select on a continuous or delayed basis. The accompanying prospectus supplement will provide the specific terms of the plan of distribution. If we use agents, underwriters or dealers to sell the securities, we will name them and describe their compensation in the prospectus supplement. The price to the public of such securities and the net proceeds we expect to receive from such sale will also be set forth in the prospectus supplement.</w:t>
      </w:r>
    </w:p>
    <w:p>
      <w:pPr>
        <w:spacing w:after="0" w:line="151" w:lineRule="exact"/>
        <w:rPr>
          <w:sz w:val="20"/>
          <w:szCs w:val="20"/>
          <w:color w:val="auto"/>
        </w:rPr>
      </w:pPr>
    </w:p>
    <w:p>
      <w:pPr>
        <w:ind w:right="540" w:firstLine="549"/>
        <w:spacing w:after="0" w:line="290" w:lineRule="auto"/>
        <w:rPr>
          <w:sz w:val="20"/>
          <w:szCs w:val="20"/>
          <w:color w:val="auto"/>
        </w:rPr>
      </w:pPr>
      <w:r>
        <w:rPr>
          <w:rFonts w:ascii="Times New Roman" w:cs="Times New Roman" w:eastAsia="Times New Roman" w:hAnsi="Times New Roman"/>
          <w:sz w:val="15"/>
          <w:szCs w:val="15"/>
          <w:color w:val="auto"/>
        </w:rPr>
        <w:t>We are an “emerging growth company” and a “smaller reporting company” under federal securities laws and, as such, are subject to reduced public company reporting requirements. See “Prospectus Summary—Implications of Being an Emerging Growth Company and a Smaller Reporting Company.”</w:t>
      </w:r>
    </w:p>
    <w:p>
      <w:pPr>
        <w:spacing w:after="0" w:line="129" w:lineRule="exact"/>
        <w:rPr>
          <w:sz w:val="20"/>
          <w:szCs w:val="20"/>
          <w:color w:val="auto"/>
        </w:rPr>
      </w:pPr>
    </w:p>
    <w:p>
      <w:pPr>
        <w:ind w:right="340" w:firstLine="549"/>
        <w:spacing w:after="0" w:line="275" w:lineRule="auto"/>
        <w:rPr>
          <w:sz w:val="20"/>
          <w:szCs w:val="20"/>
          <w:color w:val="auto"/>
        </w:rPr>
      </w:pPr>
      <w:r>
        <w:rPr>
          <w:rFonts w:ascii="Times New Roman" w:cs="Times New Roman" w:eastAsia="Times New Roman" w:hAnsi="Times New Roman"/>
          <w:sz w:val="15"/>
          <w:szCs w:val="15"/>
          <w:b w:val="1"/>
          <w:bCs w:val="1"/>
          <w:color w:val="auto"/>
        </w:rPr>
        <w:t>Investing in our securities involves a high degree of risk. You should carefully read and consider the risk factors described in this base prospectus, any accompanying prospectus supplement, any related free writing prospectus and in the documents incorporated by reference into this base prospectus. See “Risk Factors” beginning on page 4.</w:t>
      </w:r>
    </w:p>
    <w:p>
      <w:pPr>
        <w:spacing w:after="0" w:line="140" w:lineRule="exact"/>
        <w:rPr>
          <w:sz w:val="20"/>
          <w:szCs w:val="20"/>
          <w:color w:val="auto"/>
        </w:rPr>
      </w:pPr>
    </w:p>
    <w:p>
      <w:pPr>
        <w:ind w:right="40" w:firstLine="549"/>
        <w:spacing w:after="0" w:line="295" w:lineRule="auto"/>
        <w:rPr>
          <w:sz w:val="20"/>
          <w:szCs w:val="20"/>
          <w:color w:val="auto"/>
        </w:rPr>
      </w:pPr>
      <w:r>
        <w:rPr>
          <w:rFonts w:ascii="Times New Roman" w:cs="Times New Roman" w:eastAsia="Times New Roman" w:hAnsi="Times New Roman"/>
          <w:sz w:val="15"/>
          <w:szCs w:val="15"/>
          <w:b w:val="1"/>
          <w:bCs w:val="1"/>
          <w:color w:val="auto"/>
        </w:rPr>
        <w:t>Neither the U.S. Securities and Exchange Commission nor any state securities commission has approved or disapproved of these securities or determined if this base prospectus is truthful or complete. Any representation to the contrary is a criminal offense.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480" w:type="dxa"/>
            <w:vAlign w:val="bottom"/>
          </w:tcPr>
          <w:p>
            <w:pPr>
              <w:ind w:left="4260"/>
              <w:spacing w:after="0"/>
              <w:rPr>
                <w:sz w:val="20"/>
                <w:szCs w:val="20"/>
                <w:color w:val="auto"/>
              </w:rPr>
            </w:pPr>
            <w:r>
              <w:rPr>
                <w:rFonts w:ascii="Times New Roman" w:cs="Times New Roman" w:eastAsia="Times New Roman" w:hAnsi="Times New Roman"/>
                <w:sz w:val="15"/>
                <w:szCs w:val="15"/>
                <w:color w:val="auto"/>
              </w:rPr>
              <w:t>The date of this base prospectus is</w:t>
            </w:r>
          </w:p>
        </w:tc>
        <w:tc>
          <w:tcPr>
            <w:tcW w:w="4780" w:type="dxa"/>
            <w:vAlign w:val="bottom"/>
          </w:tcPr>
          <w:p>
            <w:pPr>
              <w:jc w:val="right"/>
              <w:ind w:right="4184"/>
              <w:spacing w:after="0"/>
              <w:rPr>
                <w:sz w:val="20"/>
                <w:szCs w:val="20"/>
                <w:color w:val="auto"/>
              </w:rPr>
            </w:pPr>
            <w:r>
              <w:rPr>
                <w:rFonts w:ascii="Times New Roman" w:cs="Times New Roman" w:eastAsia="Times New Roman" w:hAnsi="Times New Roman"/>
                <w:sz w:val="15"/>
                <w:szCs w:val="15"/>
                <w:color w:val="auto"/>
              </w:rPr>
              <w:t>, 2026</w:t>
            </w:r>
          </w:p>
        </w:tc>
      </w:tr>
      <w:tr>
        <w:trPr>
          <w:trHeight w:val="575"/>
        </w:trPr>
        <w:tc>
          <w:tcPr>
            <w:tcW w:w="64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5"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560" w:type="dxa"/>
            <w:vAlign w:val="bottom"/>
          </w:tcPr>
          <w:p>
            <w:pPr>
              <w:spacing w:after="0"/>
              <w:rPr>
                <w:sz w:val="17"/>
                <w:szCs w:val="17"/>
                <w:color w:val="auto"/>
              </w:rPr>
            </w:pPr>
          </w:p>
        </w:tc>
      </w:tr>
      <w:tr>
        <w:trPr>
          <w:trHeight w:val="369"/>
        </w:trPr>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63"/>
        </w:trPr>
        <w:tc>
          <w:tcPr>
            <w:tcW w:w="2320" w:type="dxa"/>
            <w:vAlign w:val="bottom"/>
            <w:tcBorders>
              <w:bottom w:val="single" w:sz="8" w:color="0000EE"/>
            </w:tcBorders>
            <w:gridSpan w:val="7"/>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ABOUT THIS BASE PROSPECTUS</w:t>
            </w:r>
          </w:p>
        </w:tc>
        <w:tc>
          <w:tcPr>
            <w:tcW w:w="8380" w:type="dxa"/>
            <w:vAlign w:val="bottom"/>
            <w:tcBorders>
              <w:bottom w:val="single" w:sz="8" w:color="CCEEFF"/>
            </w:tcBorders>
            <w:gridSpan w:val="7"/>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w w:val="95"/>
              </w:rPr>
              <w:t>ii</w:t>
            </w:r>
          </w:p>
        </w:tc>
      </w:tr>
      <w:tr>
        <w:trPr>
          <w:trHeight w:val="156"/>
        </w:trPr>
        <w:tc>
          <w:tcPr>
            <w:tcW w:w="1800" w:type="dxa"/>
            <w:vAlign w:val="bottom"/>
            <w:tcBorders>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5"/>
                <w:szCs w:val="15"/>
                <w:color w:val="0000EE"/>
              </w:rPr>
              <w:t>PROSPECTUS SUMMARY</w:t>
            </w:r>
          </w:p>
        </w:tc>
        <w:tc>
          <w:tcPr>
            <w:tcW w:w="8900" w:type="dxa"/>
            <w:vAlign w:val="bottom"/>
            <w:gridSpan w:val="9"/>
          </w:tcPr>
          <w:p>
            <w:pPr>
              <w:spacing w:after="0"/>
              <w:rPr>
                <w:sz w:val="13"/>
                <w:szCs w:val="13"/>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1</w:t>
            </w:r>
          </w:p>
        </w:tc>
      </w:tr>
      <w:tr>
        <w:trPr>
          <w:trHeight w:val="156"/>
        </w:trPr>
        <w:tc>
          <w:tcPr>
            <w:tcW w:w="10700" w:type="dxa"/>
            <w:vAlign w:val="bottom"/>
            <w:gridSpan w:val="1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RISK FACTORS</w:t>
            </w:r>
          </w:p>
        </w:tc>
        <w:tc>
          <w:tcPr>
            <w:tcW w:w="5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4</w:t>
            </w:r>
          </w:p>
        </w:tc>
      </w:tr>
      <w:tr>
        <w:trPr>
          <w:trHeight w:val="34"/>
        </w:trPr>
        <w:tc>
          <w:tcPr>
            <w:tcW w:w="6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r>
        <w:trPr>
          <w:trHeight w:val="156"/>
        </w:trPr>
        <w:tc>
          <w:tcPr>
            <w:tcW w:w="1070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CAUTIONARY NOTE REGARDING FORWARD-LOOKING INFORMATION</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5</w:t>
            </w:r>
          </w:p>
        </w:tc>
      </w:tr>
      <w:tr>
        <w:trPr>
          <w:trHeight w:val="170"/>
        </w:trPr>
        <w:tc>
          <w:tcPr>
            <w:tcW w:w="1340" w:type="dxa"/>
            <w:vAlign w:val="bottom"/>
            <w:tcBorders>
              <w:top w:val="single" w:sz="8" w:color="0000EE"/>
              <w:bottom w:val="single" w:sz="8" w:color="0000EE"/>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USE OF PROCEEDS</w:t>
            </w:r>
          </w:p>
        </w:tc>
        <w:tc>
          <w:tcPr>
            <w:tcW w:w="3640" w:type="dxa"/>
            <w:vAlign w:val="bottom"/>
            <w:tcBorders>
              <w:top w:val="single" w:sz="8" w:color="0000EE"/>
              <w:bottom w:val="single" w:sz="8" w:color="CCEEFF"/>
            </w:tcBorders>
            <w:gridSpan w:val="9"/>
            <w:shd w:val="clear" w:color="auto" w:fill="CCEEFF"/>
          </w:tcPr>
          <w:p>
            <w:pPr>
              <w:spacing w:after="0"/>
              <w:rPr>
                <w:sz w:val="14"/>
                <w:szCs w:val="14"/>
                <w:color w:val="auto"/>
              </w:rPr>
            </w:pPr>
          </w:p>
        </w:tc>
        <w:tc>
          <w:tcPr>
            <w:tcW w:w="57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6</w:t>
            </w:r>
          </w:p>
        </w:tc>
      </w:tr>
      <w:tr>
        <w:trPr>
          <w:trHeight w:val="149"/>
        </w:trPr>
        <w:tc>
          <w:tcPr>
            <w:tcW w:w="1070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DESCRIPTION OF CAPITAL STOCK</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7</w:t>
            </w:r>
          </w:p>
        </w:tc>
      </w:tr>
      <w:tr>
        <w:trPr>
          <w:trHeight w:val="27"/>
        </w:trPr>
        <w:tc>
          <w:tcPr>
            <w:tcW w:w="6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0"/>
        </w:trPr>
        <w:tc>
          <w:tcPr>
            <w:tcW w:w="4640" w:type="dxa"/>
            <w:vAlign w:val="bottom"/>
            <w:tcBorders>
              <w:bottom w:val="single" w:sz="8" w:color="0000EE"/>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ADDITIONAL INFORMATION CONCERNING OUR CAPITAL STOCK</w:t>
            </w:r>
          </w:p>
        </w:tc>
        <w:tc>
          <w:tcPr>
            <w:tcW w:w="6060" w:type="dxa"/>
            <w:vAlign w:val="bottom"/>
            <w:tcBorders>
              <w:bottom w:val="single" w:sz="8" w:color="CCEEFF"/>
            </w:tcBorders>
            <w:gridSpan w:val="2"/>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9</w:t>
            </w:r>
          </w:p>
        </w:tc>
      </w:tr>
      <w:tr>
        <w:trPr>
          <w:trHeight w:val="156"/>
        </w:trPr>
        <w:tc>
          <w:tcPr>
            <w:tcW w:w="256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5"/>
                <w:szCs w:val="15"/>
                <w:color w:val="0000EE"/>
              </w:rPr>
              <w:t>DESCRIPTION OF DEBT SECURITIES</w:t>
            </w:r>
          </w:p>
        </w:tc>
        <w:tc>
          <w:tcPr>
            <w:tcW w:w="8140" w:type="dxa"/>
            <w:vAlign w:val="bottom"/>
            <w:gridSpan w:val="5"/>
          </w:tcPr>
          <w:p>
            <w:pPr>
              <w:spacing w:after="0"/>
              <w:rPr>
                <w:sz w:val="13"/>
                <w:szCs w:val="13"/>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13</w:t>
            </w:r>
          </w:p>
        </w:tc>
      </w:tr>
      <w:tr>
        <w:trPr>
          <w:trHeight w:val="170"/>
        </w:trPr>
        <w:tc>
          <w:tcPr>
            <w:tcW w:w="2100" w:type="dxa"/>
            <w:vAlign w:val="bottom"/>
            <w:tcBorders>
              <w:bottom w:val="single" w:sz="8" w:color="0000EE"/>
            </w:tcBorders>
            <w:gridSpan w:val="6"/>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9"/>
              </w:rPr>
              <w:t>DESCRIPTION OF WARRANTS</w:t>
            </w:r>
          </w:p>
        </w:tc>
        <w:tc>
          <w:tcPr>
            <w:tcW w:w="8600" w:type="dxa"/>
            <w:vAlign w:val="bottom"/>
            <w:tcBorders>
              <w:bottom w:val="single" w:sz="8" w:color="CCEEFF"/>
            </w:tcBorders>
            <w:gridSpan w:val="8"/>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21</w:t>
            </w:r>
          </w:p>
        </w:tc>
      </w:tr>
      <w:tr>
        <w:trPr>
          <w:trHeight w:val="156"/>
        </w:trPr>
        <w:tc>
          <w:tcPr>
            <w:tcW w:w="1070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DESCRIPTION OF RIGHTS</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23</w:t>
            </w:r>
          </w:p>
        </w:tc>
      </w:tr>
      <w:tr>
        <w:trPr>
          <w:trHeight w:val="156"/>
        </w:trPr>
        <w:tc>
          <w:tcPr>
            <w:tcW w:w="1800" w:type="dxa"/>
            <w:vAlign w:val="bottom"/>
            <w:tcBorders>
              <w:top w:val="single" w:sz="8" w:color="0000EE"/>
              <w:right w:val="single" w:sz="8" w:color="CCEE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DESCRIPTION OF UNITS</w:t>
            </w:r>
          </w:p>
        </w:tc>
        <w:tc>
          <w:tcPr>
            <w:tcW w:w="8900" w:type="dxa"/>
            <w:vAlign w:val="bottom"/>
            <w:gridSpan w:val="9"/>
            <w:shd w:val="clear" w:color="auto" w:fill="CCEEFF"/>
          </w:tcPr>
          <w:p>
            <w:pPr>
              <w:spacing w:after="0"/>
              <w:rPr>
                <w:sz w:val="13"/>
                <w:szCs w:val="13"/>
                <w:color w:val="auto"/>
              </w:rPr>
            </w:pPr>
          </w:p>
        </w:tc>
        <w:tc>
          <w:tcPr>
            <w:tcW w:w="5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24</w:t>
            </w:r>
          </w:p>
        </w:tc>
      </w:tr>
      <w:tr>
        <w:trPr>
          <w:trHeight w:val="34"/>
        </w:trPr>
        <w:tc>
          <w:tcPr>
            <w:tcW w:w="6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tcBorders>
              <w:right w:val="single" w:sz="8" w:color="CCEEFF"/>
            </w:tcBorders>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r>
        <w:trPr>
          <w:trHeight w:val="156"/>
        </w:trPr>
        <w:tc>
          <w:tcPr>
            <w:tcW w:w="1070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PLAN OF DISTRIBUTION</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25</w:t>
            </w:r>
          </w:p>
        </w:tc>
      </w:tr>
      <w:tr>
        <w:trPr>
          <w:trHeight w:val="170"/>
        </w:trPr>
        <w:tc>
          <w:tcPr>
            <w:tcW w:w="1800" w:type="dxa"/>
            <w:vAlign w:val="bottom"/>
            <w:tcBorders>
              <w:top w:val="single" w:sz="8" w:color="0000EE"/>
              <w:right w:val="single" w:sz="8" w:color="CCEEFF"/>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LEGAL MATTERS</w:t>
            </w:r>
          </w:p>
        </w:tc>
        <w:tc>
          <w:tcPr>
            <w:tcW w:w="8900" w:type="dxa"/>
            <w:vAlign w:val="bottom"/>
            <w:gridSpan w:val="9"/>
            <w:shd w:val="clear" w:color="auto" w:fill="CCEEFF"/>
          </w:tcPr>
          <w:p>
            <w:pPr>
              <w:spacing w:after="0"/>
              <w:rPr>
                <w:sz w:val="14"/>
                <w:szCs w:val="14"/>
                <w:color w:val="auto"/>
              </w:rPr>
            </w:pPr>
          </w:p>
        </w:tc>
        <w:tc>
          <w:tcPr>
            <w:tcW w:w="5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27</w:t>
            </w:r>
          </w:p>
        </w:tc>
      </w:tr>
      <w:tr>
        <w:trPr>
          <w:trHeight w:val="149"/>
        </w:trPr>
        <w:tc>
          <w:tcPr>
            <w:tcW w:w="1220" w:type="dxa"/>
            <w:vAlign w:val="bottom"/>
            <w:tcBorders>
              <w:top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5"/>
                <w:szCs w:val="15"/>
                <w:color w:val="0000EE"/>
              </w:rPr>
              <w:t>EXPERTS</w:t>
            </w:r>
          </w:p>
        </w:tc>
        <w:tc>
          <w:tcPr>
            <w:tcW w:w="9480" w:type="dxa"/>
            <w:vAlign w:val="bottom"/>
            <w:tcBorders>
              <w:top w:val="single" w:sz="8" w:color="CCEEFF"/>
            </w:tcBorders>
            <w:gridSpan w:val="11"/>
          </w:tcPr>
          <w:p>
            <w:pPr>
              <w:spacing w:after="0"/>
              <w:rPr>
                <w:sz w:val="12"/>
                <w:szCs w:val="12"/>
                <w:color w:val="auto"/>
              </w:rPr>
            </w:pPr>
          </w:p>
        </w:tc>
        <w:tc>
          <w:tcPr>
            <w:tcW w:w="56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rPr>
              <w:t>28</w:t>
            </w:r>
          </w:p>
        </w:tc>
      </w:tr>
      <w:tr>
        <w:trPr>
          <w:trHeight w:val="27"/>
        </w:trPr>
        <w:tc>
          <w:tcPr>
            <w:tcW w:w="64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56"/>
        </w:trPr>
        <w:tc>
          <w:tcPr>
            <w:tcW w:w="10700" w:type="dxa"/>
            <w:vAlign w:val="bottom"/>
            <w:gridSpan w:val="1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5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29</w:t>
            </w:r>
          </w:p>
        </w:tc>
      </w:tr>
      <w:tr>
        <w:trPr>
          <w:trHeight w:val="34"/>
        </w:trPr>
        <w:tc>
          <w:tcPr>
            <w:tcW w:w="6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60" w:type="dxa"/>
            <w:vAlign w:val="bottom"/>
            <w:tcBorders>
              <w:right w:val="single" w:sz="8" w:color="0000EE"/>
            </w:tcBorders>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r>
        <w:trPr>
          <w:trHeight w:val="149"/>
        </w:trPr>
        <w:tc>
          <w:tcPr>
            <w:tcW w:w="1070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INCORPORATION OF CERTAIN DOCUMENTS BY REFERENCE</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30</w:t>
            </w:r>
          </w:p>
        </w:tc>
      </w:tr>
      <w:tr>
        <w:trPr>
          <w:trHeight w:val="20"/>
        </w:trPr>
        <w:tc>
          <w:tcPr>
            <w:tcW w:w="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91" w:lineRule="exact"/>
        <w:rPr>
          <w:sz w:val="20"/>
          <w:szCs w:val="20"/>
          <w:color w:val="auto"/>
        </w:rPr>
      </w:pPr>
    </w:p>
    <w:p>
      <w:pPr>
        <w:ind w:right="40" w:firstLine="549"/>
        <w:spacing w:after="0" w:line="258" w:lineRule="auto"/>
        <w:rPr>
          <w:sz w:val="20"/>
          <w:szCs w:val="20"/>
          <w:color w:val="auto"/>
        </w:rPr>
      </w:pPr>
      <w:r>
        <w:rPr>
          <w:rFonts w:ascii="Times New Roman" w:cs="Times New Roman" w:eastAsia="Times New Roman" w:hAnsi="Times New Roman"/>
          <w:sz w:val="15"/>
          <w:szCs w:val="15"/>
          <w:color w:val="auto"/>
        </w:rPr>
        <w:t>We are responsible for the information contained and incorporated by reference in this base prospectus, in any accompanying prospectus supplement,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base prospectus are unlawful, or if you are a person to whom it is unlawful to direct these types of activities, then the offer presented in this base prospectus does not extend to you. The information contained in this base prospectus speaks only as of the date of this base prospectus, unless the information specifically indicates that another date applies. Neither the delivery of this base prospectus nor any accompanying prospectus supplement, nor any sale of securities made under these documents, will, under any circumstances, create any implication that there has been no change in our affairs since the date of this base prospectus, any accompanying prospectus supplement or any free writing prospectus we may provide you in connection with an offering or that the information contained or incorporated by reference is correct as of any time subsequent to the date of such information. You should assume that the information in this base prospectus or any accompanying prospectus supplement, as well as the information incorporated by reference in this base prospectus or any accompanying prospectus supplement, is accurate only as of the date of the documents containing the information, unless the information specifically indicates that another date applies. Our business, financial condition, results of operations and prospects may have changed since those dates.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 w:name="page5"/>
    <w:bookmarkEnd w:id="4"/>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ABOUT THIS BASE PROSPECTUS</w:t>
      </w:r>
    </w:p>
    <w:p>
      <w:pPr>
        <w:spacing w:after="0" w:line="198" w:lineRule="exact"/>
        <w:rPr>
          <w:sz w:val="20"/>
          <w:szCs w:val="20"/>
          <w:color w:val="auto"/>
        </w:rPr>
      </w:pPr>
    </w:p>
    <w:p>
      <w:pPr>
        <w:ind w:left="8" w:right="120" w:firstLine="549"/>
        <w:spacing w:after="0" w:line="272" w:lineRule="auto"/>
        <w:rPr>
          <w:sz w:val="20"/>
          <w:szCs w:val="20"/>
          <w:color w:val="auto"/>
        </w:rPr>
      </w:pPr>
      <w:r>
        <w:rPr>
          <w:rFonts w:ascii="Times New Roman" w:cs="Times New Roman" w:eastAsia="Times New Roman" w:hAnsi="Times New Roman"/>
          <w:sz w:val="15"/>
          <w:szCs w:val="15"/>
          <w:color w:val="auto"/>
        </w:rPr>
        <w:t>This base prospectus is part of a registration statement that we filed with the U.S. Securities and Exchange Commission (the “SEC”) using a “shelf” registration process. Under this shelf registration process, we may, from time to time, issue and sell to the public any part of the securities described in this base prospectus in one or more offerings up to a total dollar amount of $300,000,000.</w:t>
      </w:r>
    </w:p>
    <w:p>
      <w:pPr>
        <w:spacing w:after="0" w:line="146" w:lineRule="exact"/>
        <w:rPr>
          <w:sz w:val="20"/>
          <w:szCs w:val="20"/>
          <w:color w:val="auto"/>
        </w:rPr>
      </w:pPr>
    </w:p>
    <w:p>
      <w:pPr>
        <w:ind w:left="8" w:firstLine="549"/>
        <w:spacing w:after="0" w:line="259" w:lineRule="auto"/>
        <w:rPr>
          <w:sz w:val="20"/>
          <w:szCs w:val="20"/>
          <w:color w:val="auto"/>
        </w:rPr>
      </w:pPr>
      <w:r>
        <w:rPr>
          <w:rFonts w:ascii="Times New Roman" w:cs="Times New Roman" w:eastAsia="Times New Roman" w:hAnsi="Times New Roman"/>
          <w:sz w:val="15"/>
          <w:szCs w:val="15"/>
          <w:color w:val="auto"/>
        </w:rPr>
        <w:t>This base prospectus provides you with a general description of the securities we may offer. Each time we sell a type or series of securities under this base prospectus, we will provide a prospectus supplement containing specific information about the terms of that offering. We may also authorize one or more free writing prospectuses to be provided to you that may contain material information relating to these offerings and securities. The prospectus supplement and any free writing prospectus may also add, update or change information in this base prospectus or in documents incorporated by reference in this base prospectus. To the extent that any statement that we make in a prospectus supplement is inconsistent with statements made in this base prospectus or in documents incorporated by reference in this base prospectus, the statements made or incorporated by reference in this base prospectus will be deemed modified or superseded by those made in the prospectus supplement. We urge you to carefully read this base prospectus, any applicable prospectus supplement and any related free writing prospectus, together with the information incorporated herein by reference as described under the heading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Incorporation of Certain Documents by Reference</w:t>
      </w:r>
      <w:r>
        <w:rPr>
          <w:rFonts w:ascii="Times New Roman" w:cs="Times New Roman" w:eastAsia="Times New Roman" w:hAnsi="Times New Roman"/>
          <w:sz w:val="15"/>
          <w:szCs w:val="15"/>
          <w:color w:val="auto"/>
        </w:rPr>
        <w:t>” before buying any of the securities being offered.</w:t>
      </w:r>
    </w:p>
    <w:p>
      <w:pPr>
        <w:spacing w:after="0" w:line="159" w:lineRule="exact"/>
        <w:rPr>
          <w:sz w:val="20"/>
          <w:szCs w:val="20"/>
          <w:color w:val="auto"/>
        </w:rPr>
      </w:pPr>
    </w:p>
    <w:p>
      <w:pPr>
        <w:ind w:left="8" w:right="120" w:firstLine="549"/>
        <w:spacing w:after="0" w:line="290" w:lineRule="auto"/>
        <w:rPr>
          <w:sz w:val="20"/>
          <w:szCs w:val="20"/>
          <w:color w:val="auto"/>
        </w:rPr>
      </w:pPr>
      <w:r>
        <w:rPr>
          <w:rFonts w:ascii="Times New Roman" w:cs="Times New Roman" w:eastAsia="Times New Roman" w:hAnsi="Times New Roman"/>
          <w:sz w:val="15"/>
          <w:szCs w:val="15"/>
          <w:color w:val="auto"/>
        </w:rPr>
        <w:t>The registration statement containing this base prospectus, including exhibits to the registration statement, provides additional information about us and the securities offered under this base prospectus. The registration statement can be read at the SEC’s website under the heading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w:t>
      </w:r>
    </w:p>
    <w:p>
      <w:pPr>
        <w:spacing w:after="0" w:line="133" w:lineRule="exact"/>
        <w:rPr>
          <w:sz w:val="20"/>
          <w:szCs w:val="20"/>
          <w:color w:val="auto"/>
        </w:rPr>
      </w:pPr>
    </w:p>
    <w:p>
      <w:pPr>
        <w:ind w:left="8" w:firstLine="549"/>
        <w:spacing w:after="0" w:line="260" w:lineRule="auto"/>
        <w:rPr>
          <w:sz w:val="20"/>
          <w:szCs w:val="20"/>
          <w:color w:val="auto"/>
        </w:rPr>
      </w:pPr>
      <w:r>
        <w:rPr>
          <w:rFonts w:ascii="Times New Roman" w:cs="Times New Roman" w:eastAsia="Times New Roman" w:hAnsi="Times New Roman"/>
          <w:sz w:val="15"/>
          <w:szCs w:val="15"/>
          <w:color w:val="auto"/>
        </w:rPr>
        <w:t>This base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base prospectus, any prospectus supplement or any applicable free writing prospectus may involve estimates, assumptions and other risks and uncertainties and are subject to change based on various factors, including those discussed under the heading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contained in this base prospectus, the applicable prospectus supplement and any applicable free writing prospectus, and under similar headings in other documents that are incorporated by reference into this base prospectus. Accordingly, investors should not place undue reliance on this information.</w:t>
      </w:r>
    </w:p>
    <w:p>
      <w:pPr>
        <w:spacing w:after="0" w:line="157" w:lineRule="exact"/>
        <w:rPr>
          <w:sz w:val="20"/>
          <w:szCs w:val="20"/>
          <w:color w:val="auto"/>
        </w:rPr>
      </w:pPr>
    </w:p>
    <w:p>
      <w:pPr>
        <w:ind w:left="8" w:right="120" w:firstLine="549"/>
        <w:spacing w:after="0" w:line="261" w:lineRule="auto"/>
        <w:rPr>
          <w:sz w:val="20"/>
          <w:szCs w:val="20"/>
          <w:color w:val="auto"/>
        </w:rPr>
      </w:pPr>
      <w:r>
        <w:rPr>
          <w:rFonts w:ascii="Times New Roman" w:cs="Times New Roman" w:eastAsia="Times New Roman" w:hAnsi="Times New Roman"/>
          <w:sz w:val="15"/>
          <w:szCs w:val="15"/>
          <w:color w:val="auto"/>
        </w:rPr>
        <w:t>We own various U.S. federal trademark registrations and applications and unregistered trademarks, including our corporate logo. This base prospectus and the information incorporated herein by reference contain references to trademarks, service marks and trade names owned by us or other companies. Solely for convenience, trademarks, service marks and trade names referred to in this base prospectus and the information incorporated herein, including logos, artwork, and other visual displays, may appear without the ® or</w:t>
      </w:r>
    </w:p>
    <w:p>
      <w:pPr>
        <w:spacing w:after="0" w:line="2" w:lineRule="exact"/>
        <w:rPr>
          <w:sz w:val="20"/>
          <w:szCs w:val="20"/>
          <w:color w:val="auto"/>
        </w:rPr>
      </w:pPr>
    </w:p>
    <w:p>
      <w:pPr>
        <w:ind w:left="8" w:right="60" w:hanging="8"/>
        <w:spacing w:after="0" w:line="259" w:lineRule="auto"/>
        <w:tabs>
          <w:tab w:leader="none" w:pos="196"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base prospectus, any applicable prospectus supplement or any related free writing prospectus are the property of their respective owners.</w:t>
      </w:r>
    </w:p>
    <w:p>
      <w:pPr>
        <w:spacing w:after="0" w:line="3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3275"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8"/>
          </w:cols>
          <w:pgMar w:left="312" w:top="78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239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1370" cy="5239385"/>
                    </a:xfrm>
                    <a:prstGeom prst="rect">
                      <a:avLst/>
                    </a:prstGeom>
                    <a:noFill/>
                  </pic:spPr>
                </pic:pic>
              </a:graphicData>
            </a:graphic>
          </wp:anchor>
        </w:drawing>
        <w:t>PROSPECTUS SUMMARY</w:t>
      </w:r>
    </w:p>
    <w:p>
      <w:pPr>
        <w:spacing w:after="0" w:line="194" w:lineRule="exact"/>
        <w:rPr>
          <w:sz w:val="20"/>
          <w:szCs w:val="20"/>
          <w:color w:val="auto"/>
        </w:rPr>
      </w:pPr>
    </w:p>
    <w:p>
      <w:pPr>
        <w:ind w:right="40" w:firstLine="550"/>
        <w:spacing w:after="0" w:line="261"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about us and our business contained elsewhere in this base prospectus or incorporated herein by reference. This summary does not contain all of the information that may be important to you and your investment decision. Therefore, before making your investment decision, you should carefully read this base prospectus, including any applicable prospectus supplements and any applicable free writing prospectus, together with the additional information described under the headings “Where You Can Find More Information” and “Incorporation of Certain Documents by Reference.” All references to “Serve” refer to Serve Operating Co. (formerly known as Serve Robotics Inc.), a privately held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material business activities and operations of Serve Robotics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About Serve Robotics Inc.</w:t>
      </w:r>
    </w:p>
    <w:p>
      <w:pPr>
        <w:spacing w:after="0" w:line="198" w:lineRule="exact"/>
        <w:rPr>
          <w:sz w:val="20"/>
          <w:szCs w:val="20"/>
          <w:color w:val="auto"/>
        </w:rPr>
      </w:pPr>
    </w:p>
    <w:p>
      <w:pPr>
        <w:ind w:right="140" w:firstLine="550"/>
        <w:spacing w:after="0" w:line="259" w:lineRule="auto"/>
        <w:rPr>
          <w:sz w:val="20"/>
          <w:szCs w:val="20"/>
          <w:color w:val="auto"/>
        </w:rPr>
      </w:pPr>
      <w:r>
        <w:rPr>
          <w:rFonts w:ascii="Times New Roman" w:cs="Times New Roman" w:eastAsia="Times New Roman" w:hAnsi="Times New Roman"/>
          <w:sz w:val="15"/>
          <w:szCs w:val="15"/>
          <w:color w:val="auto"/>
        </w:rPr>
        <w:t>We are engaged in developing technologies intended to enable sustainable, autonomous robotic solutions for public and commercial spaces. Our activities include the design, engineering, deployment, and operation of low-emission robotic systems built on our proprietary AI-enabled mobility platform. Our systems are designed to operate safely and efficiently in real world environments. While food delivery remains our primary commercial application, we are expanding our platform into adjacent markets, customer segments, and operating environments where autonomous mobility can address labor constraints, improve service levels, and reduce emissions. We intend to leverage our core autonomy stack, fleet management infrastructure, and operational expertise to support additional use cases across both outdoor and indoor settings. Our core technology originated in 2017 as a specialized project within Postmates Inc. (“Postmates”), an on-demand food delivery company in the United States. Following the acquisition of Postmates by Uber Technologies, Inc. (“Uber”) in 2020, Uber’s leadership team approved the contribution of the intellectual property and related assets associated with this project to our company in February 2021.</w:t>
      </w:r>
    </w:p>
    <w:p>
      <w:pPr>
        <w:spacing w:after="0" w:line="159" w:lineRule="exact"/>
        <w:rPr>
          <w:sz w:val="20"/>
          <w:szCs w:val="20"/>
          <w:color w:val="auto"/>
        </w:rPr>
      </w:pPr>
    </w:p>
    <w:p>
      <w:pPr>
        <w:ind w:right="100" w:firstLine="550"/>
        <w:spacing w:after="0" w:line="272" w:lineRule="auto"/>
        <w:rPr>
          <w:sz w:val="20"/>
          <w:szCs w:val="20"/>
          <w:color w:val="auto"/>
        </w:rPr>
      </w:pPr>
      <w:r>
        <w:rPr>
          <w:rFonts w:ascii="Times New Roman" w:cs="Times New Roman" w:eastAsia="Times New Roman" w:hAnsi="Times New Roman"/>
          <w:sz w:val="15"/>
          <w:szCs w:val="15"/>
          <w:color w:val="auto"/>
        </w:rPr>
        <w:t>As of December 31, 2025, Serve’s fleet consisted of over 2,000 sidewalk delivery robots. We maintain platform-level integrations with food delivery platforms, such as Uber Eats and DoorDash, which means Serve robots can provide real-time presence and status updates on those platforms and receive requests to perform deliveries with respect to customer orders placed on those platforms as needed.</w:t>
      </w:r>
    </w:p>
    <w:p>
      <w:pPr>
        <w:spacing w:after="0" w:line="146" w:lineRule="exact"/>
        <w:rPr>
          <w:sz w:val="20"/>
          <w:szCs w:val="20"/>
          <w:color w:val="auto"/>
        </w:rPr>
      </w:pPr>
    </w:p>
    <w:p>
      <w:pPr>
        <w:ind w:right="240" w:firstLine="550"/>
        <w:spacing w:after="0" w:line="272" w:lineRule="auto"/>
        <w:rPr>
          <w:sz w:val="20"/>
          <w:szCs w:val="20"/>
          <w:color w:val="auto"/>
        </w:rPr>
      </w:pPr>
      <w:r>
        <w:rPr>
          <w:rFonts w:ascii="Times New Roman" w:cs="Times New Roman" w:eastAsia="Times New Roman" w:hAnsi="Times New Roman"/>
          <w:sz w:val="15"/>
          <w:szCs w:val="15"/>
          <w:color w:val="auto"/>
        </w:rPr>
        <w:t>Because Serve started within a food delivery company, our team comes with a depth of expertise in food delivery. Additionally, the engineering team has extensive experience in AI, automation and robotics. Our leadership team includes veterans from Uber, Instacart, Postmates, Waymo, Apple Inc., Blue Origin, LLC, GoPro, Inc., GoDaddy Inc., and Anki, Inc. We believe our expertise positions us to service the ever-growing on-demand delivery market, including food delivery.</w:t>
      </w:r>
    </w:p>
    <w:p>
      <w:pPr>
        <w:spacing w:after="0" w:line="146" w:lineRule="exact"/>
        <w:rPr>
          <w:sz w:val="20"/>
          <w:szCs w:val="20"/>
          <w:color w:val="auto"/>
        </w:rPr>
      </w:pPr>
    </w:p>
    <w:p>
      <w:pPr>
        <w:ind w:right="40" w:firstLine="550"/>
        <w:spacing w:after="0" w:line="263" w:lineRule="auto"/>
        <w:rPr>
          <w:sz w:val="20"/>
          <w:szCs w:val="20"/>
          <w:color w:val="auto"/>
        </w:rPr>
      </w:pPr>
      <w:r>
        <w:rPr>
          <w:rFonts w:ascii="Times New Roman" w:cs="Times New Roman" w:eastAsia="Times New Roman" w:hAnsi="Times New Roman"/>
          <w:sz w:val="15"/>
          <w:szCs w:val="15"/>
          <w:color w:val="auto"/>
        </w:rPr>
        <w:t>Based on our proprietary historical delivery data, approximately half of all delivery distances in the United States are less than 2.5 miles and well-suited to delivery by sidewalk robots. We provide a robotic delivery experience that delights customers, improves reliability for merchants and reduces traffic congestion and vehicle emissions. Moreover, at scale we expect our robots will complete deliveries at lower cost than human couriers, making on-demand delivery more affordable and accessible in the areas in which we operate. By eliminating unnecessary car traffic, and by reducing the cost of last-mile transportation, Serve aims to reshape cities into sustainable, safe, and people-friendly environments, with thriving local economies.</w:t>
      </w:r>
    </w:p>
    <w:p>
      <w:pPr>
        <w:spacing w:after="0" w:line="154" w:lineRule="exact"/>
        <w:rPr>
          <w:sz w:val="20"/>
          <w:szCs w:val="20"/>
          <w:color w:val="auto"/>
        </w:rPr>
      </w:pPr>
    </w:p>
    <w:p>
      <w:pPr>
        <w:ind w:right="240" w:firstLine="550"/>
        <w:spacing w:after="0" w:line="266" w:lineRule="auto"/>
        <w:rPr>
          <w:sz w:val="20"/>
          <w:szCs w:val="20"/>
          <w:color w:val="auto"/>
        </w:rPr>
      </w:pPr>
      <w:r>
        <w:rPr>
          <w:rFonts w:ascii="Times New Roman" w:cs="Times New Roman" w:eastAsia="Times New Roman" w:hAnsi="Times New Roman"/>
          <w:sz w:val="15"/>
          <w:szCs w:val="15"/>
          <w:color w:val="auto"/>
        </w:rPr>
        <w:t>In January 2026, we completed the acquisition of Diligent Robotics, Inc. (“Diligent”), a provider of AI-powered autonomous robot assistants for the healthcare industry. This acquisition extends our autonomy platform into indoor environments, initially into hospitals, and broadens our addressable market into healthcare and other commercial sectors. We expect to leverage Diligent’s technology alongside our existing platform to enhance product capabilities, accelerate deployment opportunities, and support scalable, recurring revenue growth through Diligent’s established commercial relationships with healthcare systems and institutions.</w:t>
      </w:r>
    </w:p>
    <w:p>
      <w:pPr>
        <w:spacing w:after="0" w:line="151" w:lineRule="exact"/>
        <w:rPr>
          <w:sz w:val="20"/>
          <w:szCs w:val="20"/>
          <w:color w:val="auto"/>
        </w:rPr>
      </w:pPr>
    </w:p>
    <w:p>
      <w:pPr>
        <w:ind w:firstLine="550"/>
        <w:spacing w:after="0" w:line="290" w:lineRule="auto"/>
        <w:rPr>
          <w:sz w:val="20"/>
          <w:szCs w:val="20"/>
          <w:color w:val="auto"/>
        </w:rPr>
      </w:pPr>
      <w:r>
        <w:rPr>
          <w:rFonts w:ascii="Times New Roman" w:cs="Times New Roman" w:eastAsia="Times New Roman" w:hAnsi="Times New Roman"/>
          <w:sz w:val="15"/>
          <w:szCs w:val="15"/>
          <w:color w:val="auto"/>
        </w:rPr>
        <w:t>Additional details of our programs are contained in our Annual Report on Form 10-K for the fiscal year ended December 31, 2025 and our Quarterly Reports on Form 10-Q filed for subsequent fiscal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13970</wp:posOffset>
            </wp:positionV>
            <wp:extent cx="715327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8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i w:val="1"/>
          <w:i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7048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1370" cy="5704840"/>
                    </a:xfrm>
                    <a:prstGeom prst="rect">
                      <a:avLst/>
                    </a:prstGeom>
                    <a:noFill/>
                  </pic:spPr>
                </pic:pic>
              </a:graphicData>
            </a:graphic>
          </wp:anchor>
        </w:drawing>
        <w:t>Corporate Information</w:t>
      </w:r>
    </w:p>
    <w:p>
      <w:pPr>
        <w:spacing w:after="0" w:line="198" w:lineRule="exact"/>
        <w:rPr>
          <w:sz w:val="20"/>
          <w:szCs w:val="20"/>
          <w:color w:val="auto"/>
        </w:rPr>
      </w:pPr>
    </w:p>
    <w:p>
      <w:pPr>
        <w:ind w:right="160" w:firstLine="550"/>
        <w:spacing w:after="0" w:line="290" w:lineRule="auto"/>
        <w:rPr>
          <w:sz w:val="20"/>
          <w:szCs w:val="20"/>
          <w:color w:val="auto"/>
        </w:rPr>
      </w:pPr>
      <w:r>
        <w:rPr>
          <w:rFonts w:ascii="Times New Roman" w:cs="Times New Roman" w:eastAsia="Times New Roman" w:hAnsi="Times New Roman"/>
          <w:sz w:val="15"/>
          <w:szCs w:val="15"/>
          <w:color w:val="auto"/>
        </w:rPr>
        <w:t>We are a Delaware corporation. Serve Operating Co. is our direct, wholly-owned subsidiary and holds all material assets and conducts all material business activities and operations of Serve Robotics Inc.</w:t>
      </w:r>
    </w:p>
    <w:p>
      <w:pPr>
        <w:spacing w:after="0" w:line="133" w:lineRule="exact"/>
        <w:rPr>
          <w:sz w:val="20"/>
          <w:szCs w:val="20"/>
          <w:color w:val="auto"/>
        </w:rPr>
      </w:pPr>
    </w:p>
    <w:p>
      <w:pPr>
        <w:ind w:right="740" w:firstLine="550"/>
        <w:spacing w:after="0" w:line="290" w:lineRule="auto"/>
        <w:rPr>
          <w:sz w:val="20"/>
          <w:szCs w:val="20"/>
          <w:color w:val="auto"/>
        </w:rPr>
      </w:pPr>
      <w:r>
        <w:rPr>
          <w:rFonts w:ascii="Times New Roman" w:cs="Times New Roman" w:eastAsia="Times New Roman" w:hAnsi="Times New Roman"/>
          <w:sz w:val="15"/>
          <w:szCs w:val="15"/>
          <w:color w:val="auto"/>
        </w:rPr>
        <w:t xml:space="preserve">Our principal executive offices are located at 730 Broadway, Redwood City, California 94063. Our telephone number is (818) 860-1352. Our website address is </w:t>
      </w:r>
      <w:r>
        <w:rPr>
          <w:rFonts w:ascii="Times New Roman" w:cs="Times New Roman" w:eastAsia="Times New Roman" w:hAnsi="Times New Roman"/>
          <w:sz w:val="15"/>
          <w:szCs w:val="15"/>
          <w:i w:val="1"/>
          <w:iCs w:val="1"/>
          <w:color w:val="auto"/>
        </w:rPr>
        <w:t>www.serverobotics.com</w:t>
      </w:r>
      <w:r>
        <w:rPr>
          <w:rFonts w:ascii="Times New Roman" w:cs="Times New Roman" w:eastAsia="Times New Roman" w:hAnsi="Times New Roman"/>
          <w:sz w:val="15"/>
          <w:szCs w:val="15"/>
          <w:color w:val="auto"/>
        </w:rPr>
        <w:t>. Information contained on, or that can be accessed through, our website is not a part of this prospectus.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Securities We May Offer</w:t>
      </w:r>
    </w:p>
    <w:p>
      <w:pPr>
        <w:spacing w:after="0" w:line="198" w:lineRule="exact"/>
        <w:rPr>
          <w:sz w:val="20"/>
          <w:szCs w:val="20"/>
          <w:color w:val="auto"/>
        </w:rPr>
      </w:pPr>
    </w:p>
    <w:p>
      <w:pPr>
        <w:jc w:val="both"/>
        <w:ind w:right="80" w:firstLine="550"/>
        <w:spacing w:after="0" w:line="272" w:lineRule="auto"/>
        <w:rPr>
          <w:sz w:val="20"/>
          <w:szCs w:val="20"/>
          <w:color w:val="auto"/>
        </w:rPr>
      </w:pPr>
      <w:r>
        <w:rPr>
          <w:rFonts w:ascii="Times New Roman" w:cs="Times New Roman" w:eastAsia="Times New Roman" w:hAnsi="Times New Roman"/>
          <w:sz w:val="15"/>
          <w:szCs w:val="15"/>
          <w:color w:val="auto"/>
        </w:rPr>
        <w:t>We may offer shares of common stock, shares of preferred stock, debt securities, warrants or rights, either individually or in units, with a total value of up to $300,000,000 from time to time under this base prospectus at prices and on terms to be determined by market conditions at the time of the offering. Our common stock is currently listed on The Nasdaq Capital Market under the symbol “SERV.” Shares of common stock that may be offered in this offering will, when issued and paid for, be fully paid and non-assessable.</w:t>
      </w:r>
    </w:p>
    <w:p>
      <w:pPr>
        <w:spacing w:after="0" w:line="146" w:lineRule="exact"/>
        <w:rPr>
          <w:sz w:val="20"/>
          <w:szCs w:val="20"/>
          <w:color w:val="auto"/>
        </w:rPr>
      </w:pPr>
    </w:p>
    <w:p>
      <w:pPr>
        <w:jc w:val="both"/>
        <w:ind w:right="80" w:firstLine="550"/>
        <w:spacing w:after="0" w:line="272" w:lineRule="auto"/>
        <w:rPr>
          <w:sz w:val="20"/>
          <w:szCs w:val="20"/>
          <w:color w:val="auto"/>
        </w:rPr>
      </w:pPr>
      <w:r>
        <w:rPr>
          <w:rFonts w:ascii="Times New Roman" w:cs="Times New Roman" w:eastAsia="Times New Roman" w:hAnsi="Times New Roman"/>
          <w:sz w:val="15"/>
          <w:szCs w:val="15"/>
          <w:color w:val="auto"/>
        </w:rPr>
        <w:t>We refer to our common stock, preferred stock, debt securities, warrants, rights and units in this base prospectus as “securities.” This base prospectus provides you with a general description of the securities we may offer. Each time we offer a type or series of securities, we will provide a prospectus supplement that will describe the specific amounts, prices and other important terms of the securities, as described below under “Plan of Distribution.”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Proceeds</w:t>
      </w:r>
    </w:p>
    <w:p>
      <w:pPr>
        <w:spacing w:after="0" w:line="198" w:lineRule="exact"/>
        <w:rPr>
          <w:sz w:val="20"/>
          <w:szCs w:val="20"/>
          <w:color w:val="auto"/>
        </w:rPr>
      </w:pPr>
    </w:p>
    <w:p>
      <w:pPr>
        <w:ind w:right="120" w:firstLine="550"/>
        <w:spacing w:after="0" w:line="266" w:lineRule="auto"/>
        <w:rPr>
          <w:sz w:val="20"/>
          <w:szCs w:val="20"/>
          <w:color w:val="auto"/>
        </w:rPr>
      </w:pPr>
      <w:r>
        <w:rPr>
          <w:rFonts w:ascii="Times New Roman" w:cs="Times New Roman" w:eastAsia="Times New Roman" w:hAnsi="Times New Roman"/>
          <w:sz w:val="15"/>
          <w:szCs w:val="15"/>
          <w:color w:val="auto"/>
        </w:rPr>
        <w:t>We will retain broad discretion over the use of the net proceeds to us from the sale of our securities under this base prospectus. Unless otherwise indicated in one or more prospectus supplements to this base prospectus, we anticipate the net proceeds from the sale of securities offered by this base prospectus and any applicable prospectus supplement or free writing prospectus, and from the exercise of any convertible securities, if any, will be used for general corporate purposes; however, we do not currently have any specific uses of the net proceeds planned.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Implications of Being an Emerging Growth Company and a Smaller Reporting Company</w:t>
      </w:r>
    </w:p>
    <w:p>
      <w:pPr>
        <w:spacing w:after="0" w:line="198" w:lineRule="exact"/>
        <w:rPr>
          <w:sz w:val="20"/>
          <w:szCs w:val="20"/>
          <w:color w:val="auto"/>
        </w:rPr>
      </w:pPr>
    </w:p>
    <w:p>
      <w:pPr>
        <w:ind w:right="180" w:firstLine="550"/>
        <w:spacing w:after="0" w:line="272" w:lineRule="auto"/>
        <w:rPr>
          <w:sz w:val="20"/>
          <w:szCs w:val="20"/>
          <w:color w:val="auto"/>
        </w:rPr>
      </w:pPr>
      <w:r>
        <w:rPr>
          <w:rFonts w:ascii="Times New Roman" w:cs="Times New Roman" w:eastAsia="Times New Roman" w:hAnsi="Times New Roman"/>
          <w:sz w:val="15"/>
          <w:szCs w:val="15"/>
          <w:color w:val="auto"/>
        </w:rPr>
        <w:t>We qualify as an “emerging growth company” as defined in the Jumpstart Our Business Startups Act of 2012, as amended (the “JOBS Act”). An “emerging growth company” and a “smaller reporting company” may take advantage of reduced reporting requirements that are otherwise applicable to public companies. These provisions include, but are not limited to:</w:t>
      </w:r>
    </w:p>
    <w:p>
      <w:pPr>
        <w:spacing w:after="0" w:line="146" w:lineRule="exact"/>
        <w:rPr>
          <w:sz w:val="20"/>
          <w:szCs w:val="20"/>
          <w:color w:val="auto"/>
        </w:rPr>
      </w:pPr>
    </w:p>
    <w:p>
      <w:pPr>
        <w:ind w:left="820" w:hanging="280"/>
        <w:spacing w:after="0" w:line="290" w:lineRule="auto"/>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being permitted to present only two years of audited financial statements and only two years of related “Management’s Discussion and Analysis of Financial Condition and Results of Operations” disclosure in our periodic reports and registration statements;</w:t>
      </w:r>
    </w:p>
    <w:p>
      <w:pPr>
        <w:spacing w:after="0" w:line="132" w:lineRule="exact"/>
        <w:rPr>
          <w:rFonts w:ascii="Times New Roman" w:cs="Times New Roman" w:eastAsia="Times New Roman" w:hAnsi="Times New Roman"/>
          <w:sz w:val="15"/>
          <w:szCs w:val="15"/>
          <w:color w:val="auto"/>
        </w:rPr>
      </w:pPr>
    </w:p>
    <w:p>
      <w:pPr>
        <w:ind w:left="820" w:right="380" w:hanging="280"/>
        <w:spacing w:after="0" w:line="290" w:lineRule="auto"/>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the auditor attestation requirements of Section 404 of the Sarbanes-Oxley Act, as amended (the “Sarbanes-Oxley Act”), on the effectiveness of our internal controls over financial reporting;</w:t>
      </w:r>
    </w:p>
    <w:p>
      <w:pPr>
        <w:spacing w:after="0" w:line="132" w:lineRule="exact"/>
        <w:rPr>
          <w:rFonts w:ascii="Times New Roman" w:cs="Times New Roman" w:eastAsia="Times New Roman" w:hAnsi="Times New Roman"/>
          <w:sz w:val="15"/>
          <w:szCs w:val="15"/>
          <w:color w:val="auto"/>
        </w:rPr>
      </w:pPr>
    </w:p>
    <w:p>
      <w:pPr>
        <w:ind w:left="820" w:hanging="280"/>
        <w:spacing w:after="0"/>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arrangements in our periodic reports, proxy statements and registration statements; and</w:t>
      </w:r>
    </w:p>
    <w:p>
      <w:pPr>
        <w:spacing w:after="0" w:line="193" w:lineRule="exact"/>
        <w:rPr>
          <w:rFonts w:ascii="Times New Roman" w:cs="Times New Roman" w:eastAsia="Times New Roman" w:hAnsi="Times New Roman"/>
          <w:sz w:val="15"/>
          <w:szCs w:val="15"/>
          <w:color w:val="auto"/>
        </w:rPr>
      </w:pPr>
    </w:p>
    <w:p>
      <w:pPr>
        <w:ind w:left="820" w:right="120" w:hanging="280"/>
        <w:spacing w:after="0" w:line="290" w:lineRule="auto"/>
        <w:tabs>
          <w:tab w:leader="none" w:pos="82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ind w:right="40" w:firstLine="550"/>
        <w:spacing w:after="0" w:line="266" w:lineRule="auto"/>
        <w:rPr>
          <w:sz w:val="20"/>
          <w:szCs w:val="20"/>
          <w:color w:val="auto"/>
        </w:rPr>
      </w:pPr>
      <w:r>
        <w:rPr>
          <w:rFonts w:ascii="Times New Roman" w:cs="Times New Roman" w:eastAsia="Times New Roman" w:hAnsi="Times New Roman"/>
          <w:sz w:val="15"/>
          <w:szCs w:val="15"/>
          <w:color w:val="auto"/>
        </w:rPr>
        <w:t>We may use these provisions until December 31, 2028, which is the last day of the fiscal year following the fifth anniversary of the first sale of our common stock pursuant to an effective registration statement in 2023.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13970</wp:posOffset>
            </wp:positionV>
            <wp:extent cx="7153275"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888" w:right="439" w:bottom="1440" w:gutter="0" w:footer="0" w:header="0"/>
        </w:sectPr>
      </w:pPr>
    </w:p>
    <w:bookmarkStart w:id="7" w:name="page8"/>
    <w:bookmarkEnd w:id="7"/>
    <w:p>
      <w:pPr>
        <w:ind w:right="160" w:firstLine="550"/>
        <w:spacing w:after="0" w:line="272" w:lineRule="auto"/>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256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1370" cy="2564130"/>
                    </a:xfrm>
                    <a:prstGeom prst="rect">
                      <a:avLst/>
                    </a:prstGeom>
                    <a:noFill/>
                  </pic:spPr>
                </pic:pic>
              </a:graphicData>
            </a:graphic>
          </wp:anchor>
        </w:drawing>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6" w:lineRule="exact"/>
        <w:rPr>
          <w:sz w:val="20"/>
          <w:szCs w:val="20"/>
          <w:color w:val="auto"/>
        </w:rPr>
      </w:pPr>
    </w:p>
    <w:p>
      <w:pPr>
        <w:ind w:firstLine="550"/>
        <w:spacing w:after="0" w:line="261" w:lineRule="auto"/>
        <w:rPr>
          <w:sz w:val="20"/>
          <w:szCs w:val="20"/>
          <w:color w:val="auto"/>
        </w:rPr>
      </w:pPr>
      <w:r>
        <w:rPr>
          <w:rFonts w:ascii="Times New Roman" w:cs="Times New Roman" w:eastAsia="Times New Roman" w:hAnsi="Times New Roman"/>
          <w:sz w:val="15"/>
          <w:szCs w:val="15"/>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of 1933, as amended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340" w:lineRule="exact"/>
        <w:rPr>
          <w:sz w:val="20"/>
          <w:szCs w:val="20"/>
          <w:color w:val="auto"/>
        </w:rPr>
      </w:pPr>
    </w:p>
    <w:p>
      <w:pPr>
        <w:ind w:right="100" w:firstLine="550"/>
        <w:spacing w:after="0" w:line="260" w:lineRule="auto"/>
        <w:rPr>
          <w:sz w:val="20"/>
          <w:szCs w:val="20"/>
          <w:color w:val="auto"/>
        </w:rPr>
      </w:pPr>
      <w:r>
        <w:rPr>
          <w:rFonts w:ascii="Times New Roman" w:cs="Times New Roman" w:eastAsia="Times New Roman" w:hAnsi="Times New Roman"/>
          <w:sz w:val="15"/>
          <w:szCs w:val="15"/>
          <w:color w:val="auto"/>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13970</wp:posOffset>
            </wp:positionV>
            <wp:extent cx="7153275"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00"/>
          </w:cols>
          <w:pgMar w:left="420" w:top="892" w:right="47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8"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Investing in our securities involves a high degree of risk. Before you invest in our securities, in addition to the other information, documents or reports incorporated by reference in this base prospectus and any prospectus supplement or other offering materials, you should carefully consider the risk factors in this section, the section entitled “</w:t>
      </w:r>
      <w:r>
        <w:rPr>
          <w:rFonts w:ascii="Times New Roman" w:cs="Times New Roman" w:eastAsia="Times New Roman" w:hAnsi="Times New Roman"/>
          <w:sz w:val="15"/>
          <w:szCs w:val="15"/>
          <w:i w:val="1"/>
          <w:iCs w:val="1"/>
          <w:color w:val="auto"/>
        </w:rPr>
        <w:t>Risk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Factors</w:t>
      </w:r>
      <w:r>
        <w:rPr>
          <w:rFonts w:ascii="Times New Roman" w:cs="Times New Roman" w:eastAsia="Times New Roman" w:hAnsi="Times New Roman"/>
          <w:sz w:val="15"/>
          <w:szCs w:val="15"/>
          <w:color w:val="auto"/>
        </w:rPr>
        <w:t>” in any prospectus supplement as well as our most recent Annual Report on Form 10-K, and in our Quarterly Reports on Form 10-Q filed subsequent to such Annual Report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Form 10-K, which are incorporated by reference into this base prospectus and any prospectus supplement in their entirety, as the same may be amended, supplemented or superseded from time to time by other reports we file with the SEC in the future. Each of the risks described in these sections and documents could materially and adversely affect our business, financial condition, results of operations and prospects, and could result in a partial or complete loss of your investment. The risks and uncertainties we have described are not the only ones we face. Additional risks and uncertainties not presently known to us or that we currently deem immaterial may also affect our operations. See “</w:t>
      </w:r>
      <w:r>
        <w:rPr>
          <w:rFonts w:ascii="Times New Roman" w:cs="Times New Roman" w:eastAsia="Times New Roman" w:hAnsi="Times New Roman"/>
          <w:sz w:val="15"/>
          <w:szCs w:val="15"/>
          <w:i w:val="1"/>
          <w:iCs w:val="1"/>
          <w:color w:val="auto"/>
        </w:rPr>
        <w:t>Where You Can Find More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Information</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INFORMATION</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base prospectus, each prospectus supplement and the information incorporated by reference in this base prospectus and each prospectus supplement contain certain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statements that constitute “forward-looking statements” within the meaning of Section 27A of the Securities Act and Section 21E of the Securities Exchange Act of 1934, as amended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“Exchange Act”). All statements, other than statements of historical facts, included or incorporated in this base prospectus regarding our strategy, future operations, financial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position, future revenues, projected costs, projected timelines, prospects, plans and objectives of management are forward-looking statements. We may, in some cases, use words such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w:t>
      </w:r>
      <w:r>
        <w:rPr>
          <w:rFonts w:ascii="Times New Roman" w:cs="Times New Roman" w:eastAsia="Times New Roman" w:hAnsi="Times New Roman"/>
          <w:sz w:val="15"/>
          <w:szCs w:val="15"/>
          <w:i w:val="1"/>
          <w:iCs w:val="1"/>
          <w:color w:val="auto"/>
        </w:rPr>
        <w:t>believe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anticipate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should</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could</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potentially</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possibility</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intend</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plan</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may</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will</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estimate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project</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expect</w:t>
      </w:r>
      <w:r>
        <w:rPr>
          <w:rFonts w:ascii="Times New Roman" w:cs="Times New Roman" w:eastAsia="Times New Roman" w:hAnsi="Times New Roman"/>
          <w:sz w:val="15"/>
          <w:szCs w:val="15"/>
          <w:color w:val="auto"/>
        </w:rPr>
        <w:t>” and similar expressions and variations thereof,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which are intended to identify forward-looking statements, but are not the exclusive means of identifying such statements. Those statements appear in this base prospectus, 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accompanying prospectus supplement and the documents incorporated herein and therein by reference, particularly in the sections entitled “</w:t>
      </w:r>
      <w:r>
        <w:rPr>
          <w:rFonts w:ascii="Times New Roman" w:cs="Times New Roman" w:eastAsia="Times New Roman" w:hAnsi="Times New Roman"/>
          <w:sz w:val="15"/>
          <w:szCs w:val="15"/>
          <w:i w:val="1"/>
          <w:iCs w:val="1"/>
          <w:color w:val="auto"/>
        </w:rPr>
        <w:t>Prospectus Summary</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Management’s Discussion and Analysis of Financial Condition and Results of Operations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Business</w:t>
      </w:r>
      <w:r>
        <w:rPr>
          <w:rFonts w:ascii="Times New Roman" w:cs="Times New Roman" w:eastAsia="Times New Roman" w:hAnsi="Times New Roman"/>
          <w:sz w:val="15"/>
          <w:szCs w:val="15"/>
          <w:color w:val="auto"/>
        </w:rPr>
        <w:t>,” and include statements regarding the intent, belief or current expectations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 the company and management that are subject to known and unknown risks, uncertainties and assumptions.</w:t>
      </w:r>
    </w:p>
    <w:p>
      <w:pPr>
        <w:spacing w:after="0" w:line="179" w:lineRule="exact"/>
        <w:rPr>
          <w:sz w:val="20"/>
          <w:szCs w:val="20"/>
          <w:color w:val="auto"/>
        </w:rPr>
      </w:pPr>
    </w:p>
    <w:p>
      <w:pPr>
        <w:ind w:right="40" w:firstLine="549"/>
        <w:spacing w:after="0" w:line="272" w:lineRule="auto"/>
        <w:rPr>
          <w:sz w:val="20"/>
          <w:szCs w:val="20"/>
          <w:color w:val="auto"/>
        </w:rPr>
      </w:pPr>
      <w:r>
        <w:rPr>
          <w:rFonts w:ascii="Times New Roman" w:cs="Times New Roman" w:eastAsia="Times New Roman" w:hAnsi="Times New Roman"/>
          <w:sz w:val="15"/>
          <w:szCs w:val="15"/>
          <w:color w:val="auto"/>
        </w:rPr>
        <w:t>This base prospectus, any prospectus supplement and the information incorporated by reference in this base prospectus and any prospectus supplement also contain statements that are based on the current expectations of the Company and its management.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46" w:lineRule="exact"/>
        <w:rPr>
          <w:sz w:val="20"/>
          <w:szCs w:val="20"/>
          <w:color w:val="auto"/>
        </w:rPr>
      </w:pPr>
    </w:p>
    <w:p>
      <w:pPr>
        <w:ind w:right="80" w:firstLine="549"/>
        <w:spacing w:after="0" w:line="261" w:lineRule="auto"/>
        <w:rPr>
          <w:sz w:val="20"/>
          <w:szCs w:val="20"/>
          <w:color w:val="auto"/>
        </w:rPr>
      </w:pPr>
      <w:r>
        <w:rPr>
          <w:rFonts w:ascii="Times New Roman" w:cs="Times New Roman" w:eastAsia="Times New Roman" w:hAnsi="Times New Roman"/>
          <w:sz w:val="15"/>
          <w:szCs w:val="15"/>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developments and business decisions may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base prospectus, whether as a result of any new information, future events or otherwise. You should also carefully consider other information set forth in reports or other documents that we file with the SEC.</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8" w:lineRule="exact"/>
        <w:rPr>
          <w:sz w:val="20"/>
          <w:szCs w:val="20"/>
          <w:color w:val="auto"/>
        </w:rPr>
      </w:pPr>
    </w:p>
    <w:p>
      <w:pPr>
        <w:ind w:firstLine="549"/>
        <w:spacing w:after="0" w:line="263" w:lineRule="auto"/>
        <w:rPr>
          <w:sz w:val="20"/>
          <w:szCs w:val="20"/>
          <w:color w:val="auto"/>
        </w:rPr>
      </w:pPr>
      <w:r>
        <w:rPr>
          <w:rFonts w:ascii="Times New Roman" w:cs="Times New Roman" w:eastAsia="Times New Roman" w:hAnsi="Times New Roman"/>
          <w:sz w:val="15"/>
          <w:szCs w:val="15"/>
          <w:color w:val="auto"/>
        </w:rPr>
        <w:t>Unless otherwise indicated in one or more supplements to this base prospectus, we anticipate the net proceeds from the sale of securities offered by this base prospectus and any applicable prospectus supplement or free writing prospectus, and from the exercise of any convertible securities, if any, will be used for general corporate purposes, which may include research and development activities, capital expenditures, selling, general and administrative costs, facilities expansion, and working capital needs. We expect from time to time to evaluate the acquisition of businesses, products and technologies for which a portion of the net proceeds may be used, although we currently are not planning or negotiating any such transactions. Pending such uses, we may invest the net proceeds in investment-grade interest-bearing securities.</w:t>
      </w:r>
    </w:p>
    <w:p>
      <w:pPr>
        <w:spacing w:after="0" w:line="154" w:lineRule="exact"/>
        <w:rPr>
          <w:sz w:val="20"/>
          <w:szCs w:val="20"/>
          <w:color w:val="auto"/>
        </w:rPr>
      </w:pPr>
    </w:p>
    <w:p>
      <w:pPr>
        <w:ind w:right="20" w:firstLine="549"/>
        <w:spacing w:after="0" w:line="263" w:lineRule="auto"/>
        <w:rPr>
          <w:sz w:val="20"/>
          <w:szCs w:val="20"/>
          <w:color w:val="auto"/>
        </w:rPr>
      </w:pPr>
      <w:r>
        <w:rPr>
          <w:rFonts w:ascii="Times New Roman" w:cs="Times New Roman" w:eastAsia="Times New Roman" w:hAnsi="Times New Roman"/>
          <w:sz w:val="15"/>
          <w:szCs w:val="15"/>
          <w:color w:val="auto"/>
        </w:rPr>
        <w:t>The amounts actually expended for each purpose may vary significantly depending upon numerous factors, including the amount and timing of the proceeds from this offering and progress with the commercial development of our products and our technology programs. Expenditures will also depend upon the establishment of collaborative arrangements with other companies, the availability of additional financing and other factors. As a result, unless otherwise indicated in a prospectus supplement, our management will have broad discretion to allocate the net proceeds we receive from the sale of the securities offered by this base prospectus, and from the exercise price from the exercise of any convertible securities, if any, and investors will be relying on the judgment of our management regarding the application of the net proceeds.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CAPITAL STOCK</w:t>
      </w:r>
    </w:p>
    <w:p>
      <w:pPr>
        <w:spacing w:after="0" w:line="198" w:lineRule="exact"/>
        <w:rPr>
          <w:sz w:val="20"/>
          <w:szCs w:val="20"/>
          <w:color w:val="auto"/>
        </w:rPr>
      </w:pPr>
    </w:p>
    <w:p>
      <w:pPr>
        <w:ind w:right="440" w:firstLine="549"/>
        <w:spacing w:after="0" w:line="272" w:lineRule="auto"/>
        <w:rPr>
          <w:sz w:val="20"/>
          <w:szCs w:val="20"/>
          <w:color w:val="auto"/>
        </w:rPr>
      </w:pPr>
      <w:r>
        <w:rPr>
          <w:rFonts w:ascii="Times New Roman" w:cs="Times New Roman" w:eastAsia="Times New Roman" w:hAnsi="Times New Roman"/>
          <w:sz w:val="15"/>
          <w:szCs w:val="15"/>
          <w:color w:val="auto"/>
        </w:rPr>
        <w:t>The following description summarizes the most important terms of our capital stock. Because it is only a summary, it does not contain all the information that may be important to you and the descriptions herein are qualified by reference to our amended and restated certificate of incorporation and amended and restated bylaws. For a complete description, you should refer to our amended and restated certificate of incorporation and amended and restated bylaws and to the applicable provisions of Delaware law.</w:t>
      </w:r>
    </w:p>
    <w:p>
      <w:pPr>
        <w:spacing w:after="0" w:line="146" w:lineRule="exact"/>
        <w:rPr>
          <w:sz w:val="20"/>
          <w:szCs w:val="20"/>
          <w:color w:val="auto"/>
        </w:rPr>
      </w:pPr>
    </w:p>
    <w:p>
      <w:pPr>
        <w:ind w:right="580" w:firstLine="549"/>
        <w:spacing w:after="0" w:line="290" w:lineRule="auto"/>
        <w:rPr>
          <w:sz w:val="20"/>
          <w:szCs w:val="20"/>
          <w:color w:val="auto"/>
        </w:rPr>
      </w:pPr>
      <w:r>
        <w:rPr>
          <w:rFonts w:ascii="Times New Roman" w:cs="Times New Roman" w:eastAsia="Times New Roman" w:hAnsi="Times New Roman"/>
          <w:sz w:val="15"/>
          <w:szCs w:val="15"/>
          <w:color w:val="auto"/>
        </w:rPr>
        <w:t>We have authorized capital stock consisting of 300,000,000 shares of common stock, par value $0.0001 per share, and 10,000,000 shares of preferred stock, par value $0.0001 per share.</w:t>
      </w:r>
    </w:p>
    <w:p>
      <w:pPr>
        <w:spacing w:after="0" w:line="133" w:lineRule="exact"/>
        <w:rPr>
          <w:sz w:val="20"/>
          <w:szCs w:val="20"/>
          <w:color w:val="auto"/>
        </w:rPr>
      </w:pPr>
    </w:p>
    <w:p>
      <w:pPr>
        <w:ind w:right="620" w:firstLine="549"/>
        <w:spacing w:after="0" w:line="290" w:lineRule="auto"/>
        <w:rPr>
          <w:sz w:val="20"/>
          <w:szCs w:val="20"/>
          <w:color w:val="auto"/>
        </w:rPr>
      </w:pPr>
      <w:r>
        <w:rPr>
          <w:rFonts w:ascii="Times New Roman" w:cs="Times New Roman" w:eastAsia="Times New Roman" w:hAnsi="Times New Roman"/>
          <w:sz w:val="15"/>
          <w:szCs w:val="15"/>
          <w:color w:val="auto"/>
        </w:rPr>
        <w:t>As of March 31, 2026, we had 76,057,229 shares of common stock outstanding, and no shares of preferred stock issued and outstanding. Unless stated otherwise, the following discussion summarizes the term and provisions of our amended and restated certificate of incorporation and our amended and restated bylaws.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 Rights</w:t>
      </w:r>
    </w:p>
    <w:p>
      <w:pPr>
        <w:spacing w:after="0" w:line="198" w:lineRule="exact"/>
        <w:rPr>
          <w:sz w:val="20"/>
          <w:szCs w:val="20"/>
          <w:color w:val="auto"/>
        </w:rPr>
      </w:pPr>
    </w:p>
    <w:p>
      <w:pPr>
        <w:ind w:right="280" w:firstLine="549"/>
        <w:spacing w:after="0" w:line="272" w:lineRule="auto"/>
        <w:rPr>
          <w:sz w:val="20"/>
          <w:szCs w:val="20"/>
          <w:color w:val="auto"/>
        </w:rPr>
      </w:pPr>
      <w:r>
        <w:rPr>
          <w:rFonts w:ascii="Times New Roman" w:cs="Times New Roman" w:eastAsia="Times New Roman" w:hAnsi="Times New Roman"/>
          <w:sz w:val="15"/>
          <w:szCs w:val="15"/>
          <w:color w:val="auto"/>
        </w:rPr>
        <w:t>Subject to applicable law and the rights and preferences, if any, of any holders of any outstanding series of preferred stock, the holders of our common stock are entitled to receive dividends if our board of directors, in its discretion, determines to issue dividends and then only at the times and in the amounts that our board of directors may determine, payable either in cash, in property or in shares of capital stock.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Voting Rights</w:t>
      </w:r>
    </w:p>
    <w:p>
      <w:pPr>
        <w:spacing w:after="0" w:line="198" w:lineRule="exact"/>
        <w:rPr>
          <w:sz w:val="20"/>
          <w:szCs w:val="20"/>
          <w:color w:val="auto"/>
        </w:rPr>
      </w:pPr>
    </w:p>
    <w:p>
      <w:pPr>
        <w:ind w:firstLine="549"/>
        <w:spacing w:after="0" w:line="259" w:lineRule="auto"/>
        <w:rPr>
          <w:sz w:val="20"/>
          <w:szCs w:val="20"/>
          <w:color w:val="auto"/>
        </w:rPr>
      </w:pPr>
      <w:r>
        <w:rPr>
          <w:rFonts w:ascii="Times New Roman" w:cs="Times New Roman" w:eastAsia="Times New Roman" w:hAnsi="Times New Roman"/>
          <w:sz w:val="15"/>
          <w:szCs w:val="15"/>
          <w:color w:val="auto"/>
        </w:rPr>
        <w:t>Holders of our common stock are entitled to one vote for each share of common stock held on all matters submitted to a vote of stockholders. Except as otherwise required by law, holders of common stock are not entitled to vote on any amendment to the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on such amendment pursuant to the amended and restated certificate (including any certificate of designation relating to any series of preferred stock). We have not provided for cumulative voting for the election of directors in our amended and restated certificate of incorporation. Accordingly,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 Preemptive or Similar Rights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Our common stock is not entitled to preemptive rights and is not subject to conversion, redemption or sinking fund provisions.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b w:val="1"/>
          <w:bCs w:val="1"/>
          <w:i w:val="1"/>
          <w:iCs w:val="1"/>
          <w:color w:val="auto"/>
        </w:rPr>
        <w:t>Right to Receive Liquidation Distributions</w:t>
      </w:r>
    </w:p>
    <w:p>
      <w:pPr>
        <w:spacing w:after="0" w:line="198" w:lineRule="exact"/>
        <w:rPr>
          <w:sz w:val="20"/>
          <w:szCs w:val="20"/>
          <w:color w:val="auto"/>
        </w:rPr>
      </w:pPr>
    </w:p>
    <w:p>
      <w:pPr>
        <w:ind w:right="680" w:firstLine="549"/>
        <w:spacing w:after="0" w:line="290" w:lineRule="auto"/>
        <w:rPr>
          <w:sz w:val="20"/>
          <w:szCs w:val="20"/>
          <w:color w:val="auto"/>
        </w:rPr>
      </w:pPr>
      <w:r>
        <w:rPr>
          <w:rFonts w:ascii="Times New Roman" w:cs="Times New Roman" w:eastAsia="Times New Roman" w:hAnsi="Times New Roman"/>
          <w:sz w:val="15"/>
          <w:szCs w:val="15"/>
          <w:color w:val="auto"/>
        </w:rPr>
        <w:t>Upon our liquidation, dissolution or winding-up and after payment in full of all amounts required to be paid to creditors and to any holders of preferred stock having liquidation preferences, if any, the assets legally available for distribution to our stockholders would be distributable ratably among the holders of our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Transfer Agent and Registrar for Common Stock</w:t>
      </w:r>
    </w:p>
    <w:p>
      <w:pPr>
        <w:spacing w:after="0" w:line="198" w:lineRule="exact"/>
        <w:rPr>
          <w:sz w:val="20"/>
          <w:szCs w:val="20"/>
          <w:color w:val="auto"/>
        </w:rPr>
      </w:pPr>
    </w:p>
    <w:p>
      <w:pPr>
        <w:ind w:right="140" w:firstLine="549"/>
        <w:spacing w:after="0" w:line="290" w:lineRule="auto"/>
        <w:rPr>
          <w:sz w:val="20"/>
          <w:szCs w:val="20"/>
          <w:color w:val="auto"/>
        </w:rPr>
      </w:pPr>
      <w:r>
        <w:rPr>
          <w:rFonts w:ascii="Times New Roman" w:cs="Times New Roman" w:eastAsia="Times New Roman" w:hAnsi="Times New Roman"/>
          <w:sz w:val="15"/>
          <w:szCs w:val="15"/>
          <w:color w:val="auto"/>
        </w:rPr>
        <w:t>The transfer agent and registrar for our common stock is Computershare Trust Company, N.A. The transfer agent’s address is 150 Royall Street, Suite 101 NY 02021, and its telephone number is 1-800-982-7652.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98"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Our board of directors is authorized, subject to limitations prescribed by Delaware law, to issue preferred stock in one or more series, to establish from time to time the number of shares to be included in each series, and to fix the designation, vesting, powers (including voting powers), preferences and relative, participating, optional or other rights of the shares of each series and any of its qualifications, limitations or restrictions, in each case without further vote or action by our stockholders.</w:t>
      </w:r>
    </w:p>
    <w:p>
      <w:pPr>
        <w:spacing w:after="0" w:line="146" w:lineRule="exact"/>
        <w:rPr>
          <w:sz w:val="20"/>
          <w:szCs w:val="20"/>
          <w:color w:val="auto"/>
        </w:rPr>
      </w:pPr>
    </w:p>
    <w:p>
      <w:pPr>
        <w:ind w:right="40" w:firstLine="549"/>
        <w:spacing w:after="0" w:line="263" w:lineRule="auto"/>
        <w:rPr>
          <w:sz w:val="20"/>
          <w:szCs w:val="20"/>
          <w:color w:val="auto"/>
        </w:rPr>
      </w:pPr>
      <w:r>
        <w:rPr>
          <w:rFonts w:ascii="Times New Roman" w:cs="Times New Roman" w:eastAsia="Times New Roman" w:hAnsi="Times New Roman"/>
          <w:sz w:val="15"/>
          <w:szCs w:val="15"/>
          <w:color w:val="auto"/>
        </w:rPr>
        <w:t>Our board of directors can also increase or decrease the number of shares of any series of preferred stock, but not below the number of shares of that series then outstanding or above the total number of authorized shares of the class, without any further vote or action by our stockholders. Our board of directors may, without stockholder approval, authorize the issuance of preferred stock with voting or other rights that could adversely affect the voting power or other rights of the holders of our common stock and could have anti-takeover effects. The issuance of preferred stock, while providing flexibility in connection with possible acquisitions and other corporate purposes, could, among other things, have the effect of delaying, deferring or preventing a change in our control or the removal of existing management and might adversely affect the market price of our common stock.</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5"/>
          <w:szCs w:val="15"/>
          <w:b w:val="1"/>
          <w:bCs w:val="1"/>
          <w:color w:val="auto"/>
        </w:rPr>
        <w:t>ADDITIONAL INFORMATION CONCERNING OUR CAPITAL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198"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The provisions of the Delaware General Corporation Law (the “DGCL”), our amended and restated certificate of incorporation, and our amended and restated bylaws could have the effect of delaying, deferring or discouraging another person from acquiring control of our Company by means of a tender offer, a proxy contest or otherwise, or from removing incumbent officers and directors. These provisions, which are summarized below, are expected to discourage certain types of coercive takeover practices and inadequate takeover bids and to encourage persons seeking to acquire control of our Company to first negotiate with our board of directors. We believe that the benefits of increased protection of our ability to negotiate with an unfriendly or unsolicited acquirer outweigh the disadvantages of discouraging a proposal to acquire us because negotiation of these proposals could result in an improvement of their terms. However, these provisions may delay, deter or prevent a merger or acquisition of us that a stockholder might consider is in their best interest or in our best interests, including transactions that might result in a premium over the prevailing market price of our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Section 203 of the DGCL</w:t>
      </w:r>
    </w:p>
    <w:p>
      <w:pPr>
        <w:spacing w:after="0" w:line="198" w:lineRule="exact"/>
        <w:rPr>
          <w:sz w:val="20"/>
          <w:szCs w:val="20"/>
          <w:color w:val="auto"/>
        </w:rPr>
      </w:pPr>
    </w:p>
    <w:p>
      <w:pPr>
        <w:ind w:right="260" w:firstLine="549"/>
        <w:spacing w:after="0" w:line="266" w:lineRule="auto"/>
        <w:rPr>
          <w:sz w:val="20"/>
          <w:szCs w:val="20"/>
          <w:color w:val="auto"/>
        </w:rPr>
      </w:pPr>
      <w:r>
        <w:rPr>
          <w:rFonts w:ascii="Times New Roman" w:cs="Times New Roman" w:eastAsia="Times New Roman" w:hAnsi="Times New Roman"/>
          <w:sz w:val="15"/>
          <w:szCs w:val="15"/>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as summarized below. Under Section 203, a business combination between a corporation and an interested stockholder is prohibited unless it satisfies one of the following conditions:</w:t>
      </w:r>
    </w:p>
    <w:p>
      <w:pPr>
        <w:spacing w:after="0" w:line="151" w:lineRule="exact"/>
        <w:rPr>
          <w:sz w:val="20"/>
          <w:szCs w:val="20"/>
          <w:color w:val="auto"/>
        </w:rPr>
      </w:pPr>
    </w:p>
    <w:p>
      <w:pPr>
        <w:ind w:left="820" w:right="140" w:hanging="279"/>
        <w:spacing w:after="0" w:line="290" w:lineRule="auto"/>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before the stockholder became interested, our board of directors approved either the business combination or the transaction which resulted in the stockholder becoming an interested stockholder;</w:t>
      </w:r>
    </w:p>
    <w:p>
      <w:pPr>
        <w:spacing w:after="0" w:line="132" w:lineRule="exact"/>
        <w:rPr>
          <w:rFonts w:ascii="Times New Roman" w:cs="Times New Roman" w:eastAsia="Times New Roman" w:hAnsi="Times New Roman"/>
          <w:sz w:val="15"/>
          <w:szCs w:val="15"/>
          <w:color w:val="auto"/>
        </w:rPr>
      </w:pPr>
    </w:p>
    <w:p>
      <w:pPr>
        <w:jc w:val="both"/>
        <w:ind w:left="820" w:right="100" w:hanging="279"/>
        <w:spacing w:after="0" w:line="272" w:lineRule="auto"/>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46" w:lineRule="exact"/>
        <w:rPr>
          <w:rFonts w:ascii="Times New Roman" w:cs="Times New Roman" w:eastAsia="Times New Roman" w:hAnsi="Times New Roman"/>
          <w:sz w:val="15"/>
          <w:szCs w:val="15"/>
          <w:color w:val="auto"/>
        </w:rPr>
      </w:pPr>
    </w:p>
    <w:p>
      <w:pPr>
        <w:ind w:left="820" w:right="100" w:hanging="279"/>
        <w:spacing w:after="0" w:line="290" w:lineRule="auto"/>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or consolidation involving the corporation and the interested stockholder;</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sale, transfer, lease, pledge, or other disposition involving the interested stockholder of 10% or more of the assets of the corporation;</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exceptions, any transaction that results in the issuance or transfer by the corporation of any stock of the corporation to the interested stockholder;</w:t>
      </w:r>
    </w:p>
    <w:p>
      <w:pPr>
        <w:spacing w:after="0" w:line="193" w:lineRule="exact"/>
        <w:rPr>
          <w:rFonts w:ascii="Times New Roman" w:cs="Times New Roman" w:eastAsia="Times New Roman" w:hAnsi="Times New Roman"/>
          <w:sz w:val="15"/>
          <w:szCs w:val="15"/>
          <w:color w:val="auto"/>
        </w:rPr>
      </w:pPr>
    </w:p>
    <w:p>
      <w:pPr>
        <w:ind w:left="820" w:right="720" w:hanging="279"/>
        <w:spacing w:after="0" w:line="290" w:lineRule="auto"/>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the interested stockholder of the benefit of any loans, advances, guarantees, pledges or other financial benefits provided by or through the corporation.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4" w:name="page15"/>
    <w:bookmarkEnd w:id="14"/>
    <w:p>
      <w:pPr>
        <w:ind w:right="180" w:firstLine="549"/>
        <w:spacing w:after="0" w:line="290" w:lineRule="auto"/>
        <w:rPr>
          <w:sz w:val="20"/>
          <w:szCs w:val="20"/>
          <w:color w:val="auto"/>
        </w:rPr>
      </w:pPr>
      <w:r>
        <w:rPr>
          <w:rFonts w:ascii="Times New Roman" w:cs="Times New Roman" w:eastAsia="Times New Roman" w:hAnsi="Times New Roman"/>
          <w:sz w:val="15"/>
          <w:szCs w:val="15"/>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Amended and Restated Certificate of Incorporation and Amended and Restated Bylaw Provisions</w:t>
      </w:r>
    </w:p>
    <w:p>
      <w:pPr>
        <w:spacing w:after="0" w:line="198" w:lineRule="exact"/>
        <w:rPr>
          <w:sz w:val="20"/>
          <w:szCs w:val="20"/>
          <w:color w:val="auto"/>
        </w:rPr>
      </w:pPr>
    </w:p>
    <w:p>
      <w:pPr>
        <w:ind w:right="480" w:firstLine="549"/>
        <w:spacing w:after="0" w:line="290" w:lineRule="auto"/>
        <w:rPr>
          <w:sz w:val="20"/>
          <w:szCs w:val="20"/>
          <w:color w:val="auto"/>
        </w:rPr>
      </w:pPr>
      <w:r>
        <w:rPr>
          <w:rFonts w:ascii="Times New Roman" w:cs="Times New Roman" w:eastAsia="Times New Roman" w:hAnsi="Times New Roman"/>
          <w:sz w:val="15"/>
          <w:szCs w:val="15"/>
          <w:color w:val="auto"/>
        </w:rPr>
        <w:t>Our amended and restated certificate of incorporation and our amended and restated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29" w:lineRule="exact"/>
        <w:rPr>
          <w:sz w:val="20"/>
          <w:szCs w:val="20"/>
          <w:color w:val="auto"/>
        </w:rPr>
      </w:pPr>
    </w:p>
    <w:p>
      <w:pPr>
        <w:ind w:left="820" w:right="40" w:hanging="279"/>
        <w:spacing w:after="0" w:line="259" w:lineRule="auto"/>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Board Vacancies</w:t>
      </w:r>
      <w:r>
        <w:rPr>
          <w:rFonts w:ascii="Times New Roman" w:cs="Times New Roman" w:eastAsia="Times New Roman" w:hAnsi="Times New Roman"/>
          <w:sz w:val="15"/>
          <w:szCs w:val="15"/>
          <w:color w:val="auto"/>
        </w:rPr>
        <w:t>. Our amended and restated bylaws and certificate of incorporation provide, subject to the special rights of the holders of any series of preferred stock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elect directors, that any vacancy on the board of directors may be filled by the affirmative vote of a majority of the directors then in office, even if less than a quorum, or by a sole remaining director, and not by the stockholders, unless (a) the board of directors determines by resolution that any such vacancies or newly created directorships shall be filled by the stockholders or (b) as otherwise provided by law. Any director chosen to fill a vacancy will hold office until the expiration of the term of the class for which he or she was elected and until his or her successor is duly elected and qualified, or until his or her earlier death, resignation, disqualification or removal. In addition, the number of directors constituting the total number of authorized directors whether or not there exist any vacancies in previously authorized directorships (the “Whole Board”) is permitted to be set only by a resolution adopted by a majority of the Whole Board. These provisions prevent a stockholder from increasing the size of our board of directors and gaining control of our board of directors by filling the resulting vacancies with its own nominees. This makes it more difficult to change the composition of the board of directors, but promotes continuity of management.</w:t>
      </w:r>
    </w:p>
    <w:p>
      <w:pPr>
        <w:spacing w:after="0" w:line="156" w:lineRule="exact"/>
        <w:rPr>
          <w:rFonts w:ascii="Times New Roman" w:cs="Times New Roman" w:eastAsia="Times New Roman" w:hAnsi="Times New Roman"/>
          <w:sz w:val="15"/>
          <w:szCs w:val="15"/>
          <w:color w:val="auto"/>
        </w:rPr>
      </w:pPr>
    </w:p>
    <w:p>
      <w:pPr>
        <w:ind w:left="820" w:right="20" w:hanging="279"/>
        <w:spacing w:after="0" w:line="275" w:lineRule="auto"/>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Classified Board</w:t>
      </w:r>
      <w:r>
        <w:rPr>
          <w:rFonts w:ascii="Times New Roman" w:cs="Times New Roman" w:eastAsia="Times New Roman" w:hAnsi="Times New Roman"/>
          <w:sz w:val="15"/>
          <w:szCs w:val="15"/>
          <w:color w:val="auto"/>
        </w:rPr>
        <w:t>. Our amended and restated certificate of incorporation and amended and restated bylaws provide that our board of directors is classified into three classes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directors. The existence of a classified board of directors could delay a successful tender offeror from obtaining majority control of our board of directors, and the prospect of that delay might deter a potential offeror. See the section titled “</w:t>
      </w:r>
      <w:r>
        <w:rPr>
          <w:rFonts w:ascii="Times New Roman" w:cs="Times New Roman" w:eastAsia="Times New Roman" w:hAnsi="Times New Roman"/>
          <w:sz w:val="15"/>
          <w:szCs w:val="15"/>
          <w:i w:val="1"/>
          <w:iCs w:val="1"/>
          <w:color w:val="auto"/>
        </w:rPr>
        <w:t>Classified Board of Directors</w:t>
      </w:r>
      <w:r>
        <w:rPr>
          <w:rFonts w:ascii="Times New Roman" w:cs="Times New Roman" w:eastAsia="Times New Roman" w:hAnsi="Times New Roman"/>
          <w:sz w:val="15"/>
          <w:szCs w:val="15"/>
          <w:color w:val="auto"/>
        </w:rPr>
        <w:t>” for additional information.</w:t>
      </w:r>
    </w:p>
    <w:p>
      <w:pPr>
        <w:spacing w:after="0" w:line="139" w:lineRule="exact"/>
        <w:rPr>
          <w:rFonts w:ascii="Times New Roman" w:cs="Times New Roman" w:eastAsia="Times New Roman" w:hAnsi="Times New Roman"/>
          <w:sz w:val="15"/>
          <w:szCs w:val="15"/>
          <w:color w:val="auto"/>
        </w:rPr>
      </w:pPr>
    </w:p>
    <w:p>
      <w:pPr>
        <w:ind w:left="820" w:right="20" w:hanging="279"/>
        <w:spacing w:after="0" w:line="275" w:lineRule="auto"/>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Directors Removed Only for Cause</w:t>
      </w:r>
      <w:r>
        <w:rPr>
          <w:rFonts w:ascii="Times New Roman" w:cs="Times New Roman" w:eastAsia="Times New Roman" w:hAnsi="Times New Roman"/>
          <w:sz w:val="15"/>
          <w:szCs w:val="15"/>
          <w:color w:val="auto"/>
        </w:rPr>
        <w:t>. Our amended and restated certificate of incorporation provide that stockholders may remove directors only for cause and only by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affirmative vote of the holders of at least two-thirds (2/3) of the voting power of the then-outstanding shares of our capital stock entitled to vote generally in the election of directors, voting together as a single class.</w:t>
      </w:r>
    </w:p>
    <w:p>
      <w:pPr>
        <w:spacing w:after="0" w:line="139" w:lineRule="exact"/>
        <w:rPr>
          <w:rFonts w:ascii="Times New Roman" w:cs="Times New Roman" w:eastAsia="Times New Roman" w:hAnsi="Times New Roman"/>
          <w:sz w:val="15"/>
          <w:szCs w:val="15"/>
          <w:color w:val="auto"/>
        </w:rPr>
      </w:pPr>
    </w:p>
    <w:p>
      <w:pPr>
        <w:ind w:left="820" w:hanging="279"/>
        <w:spacing w:after="0" w:line="258" w:lineRule="auto"/>
        <w:tabs>
          <w:tab w:leader="none" w:pos="82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Supermajority Requirements for Amendments of Our Amended and Restated Certificate of Incorporation and Amended and Restated Bylaws</w:t>
      </w:r>
      <w:r>
        <w:rPr>
          <w:rFonts w:ascii="Times New Roman" w:cs="Times New Roman" w:eastAsia="Times New Roman" w:hAnsi="Times New Roman"/>
          <w:sz w:val="15"/>
          <w:szCs w:val="15"/>
          <w:color w:val="auto"/>
        </w:rPr>
        <w:t>. Our amended and restated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certificate of incorporation further provides that the affirmative vote of holders of at least 66 2/3% of our capital stock entitled to vote generally in the election of directors, voting together as a single class, will be required to amend certain provisions of our amended and restated certificate of incorporation, including provisions relating to the classified board, the size of the board of directors, removal of directors, special meetings, actions by written consent, and designation of our preferred stock; provided, however, that if two-thirds (2/3) of the total number of authorized directors whether or not there exist any vacancies in previously authorized directorships (the “Whole Board”) has approved such amendment or repeal of, or any provision inconsistent with, such provisions, then only the affirmative vote of the holders of at least a majority of the voting power of all of the then-outstanding shares of our capital stock entitled to vote generally in the election of directors, voting together as a single class, shall be required to amend, repeal, or adopt any provision inconsistent with, such provisions. The affirmative vote of holders of at least 66 2/3% of our capital stock entitled to vote generally in the election of directors, voting together as a single class, is required to amend or repeal any provision of our amended and restated bylaws, although our amended and restated bylaws may be amended by the approval of a majority of the Whole Board; provided, however, that if two-thirds (2/3) of the Whole Board has approved such amendment or repeal of any provision of our our amended and restated bylaws, then only the affirmative vote of the holders of at least a majority of the voting power of all of the then-outstanding shares of our capital stock entitled to vote generally in the election of directors, voting together as a single class, shall be required to amend or repeal any provision of our amended and restated bylaws.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 w:name="page16"/>
    <w:bookmarkEnd w:id="15"/>
    <w:p>
      <w:pPr>
        <w:ind w:left="280" w:right="160" w:hanging="279"/>
        <w:spacing w:after="0" w:line="261"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Securityholder Action; Special Meetings of Stockholders</w:t>
      </w:r>
      <w:r>
        <w:rPr>
          <w:rFonts w:ascii="Times New Roman" w:cs="Times New Roman" w:eastAsia="Times New Roman" w:hAnsi="Times New Roman"/>
          <w:sz w:val="15"/>
          <w:szCs w:val="15"/>
          <w:color w:val="auto"/>
        </w:rPr>
        <w:t>. Our amended and restated certificate of incorporation provides that our stockholders may not take action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written consent but may only take action at annual or special meetings of our stockholders. As a result, holders of our capital stock would not be able to amend our amended and restated bylaws or remove directors without holding a meeting of our stockholders called in accordance with our amended and restated bylaws. Our amended and restated certificate of incorporation and our amended and restated bylaws provide that special meetings of our stockholders may be called only by the chairperson of the board of directors, our chief executive officer or the board of directors acting pursuant to a resolution adopted by a majority of the Whole Board, thus prohibiting a stockholder from calling a special meeting. These provisions might delay the ability of our stockholders to force consideration of a proposal or for stockholders to take any action, including the removal of directors.</w:t>
      </w:r>
    </w:p>
    <w:p>
      <w:pPr>
        <w:spacing w:after="0" w:line="152" w:lineRule="exact"/>
        <w:rPr>
          <w:rFonts w:ascii="Times New Roman" w:cs="Times New Roman" w:eastAsia="Times New Roman" w:hAnsi="Times New Roman"/>
          <w:sz w:val="15"/>
          <w:szCs w:val="15"/>
          <w:color w:val="auto"/>
        </w:rPr>
      </w:pPr>
    </w:p>
    <w:p>
      <w:pPr>
        <w:ind w:left="280" w:hanging="279"/>
        <w:spacing w:after="0" w:line="263"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Advance Notice Requirements for Securityholder Proposals and Director Nominations</w:t>
      </w:r>
      <w:r>
        <w:rPr>
          <w:rFonts w:ascii="Times New Roman" w:cs="Times New Roman" w:eastAsia="Times New Roman" w:hAnsi="Times New Roman"/>
          <w:sz w:val="15"/>
          <w:szCs w:val="15"/>
          <w:color w:val="auto"/>
        </w:rPr>
        <w:t>. Our amended and restated bylaws provide advance notice procedures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48" w:lineRule="exact"/>
        <w:rPr>
          <w:rFonts w:ascii="Times New Roman" w:cs="Times New Roman" w:eastAsia="Times New Roman" w:hAnsi="Times New Roman"/>
          <w:sz w:val="15"/>
          <w:szCs w:val="15"/>
          <w:color w:val="auto"/>
        </w:rPr>
      </w:pPr>
    </w:p>
    <w:p>
      <w:pPr>
        <w:ind w:left="280" w:right="80" w:hanging="279"/>
        <w:spacing w:after="0" w:line="295"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Cumulative Voting</w:t>
      </w:r>
      <w:r>
        <w:rPr>
          <w:rFonts w:ascii="Times New Roman" w:cs="Times New Roman" w:eastAsia="Times New Roman" w:hAnsi="Times New Roman"/>
          <w:sz w:val="15"/>
          <w:szCs w:val="15"/>
          <w:color w:val="auto"/>
        </w:rPr>
        <w:t>. The DGCL provides that stockholders are not entitled to the right to cumulate votes in the election of directors unless a corporation’s certificate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incorporation provides otherwise. Our amended and restated certificate of incorporation and amended and restated bylaws do not provide for cumulative voting.</w:t>
      </w:r>
    </w:p>
    <w:p>
      <w:pPr>
        <w:spacing w:after="0" w:line="125" w:lineRule="exact"/>
        <w:rPr>
          <w:rFonts w:ascii="Times New Roman" w:cs="Times New Roman" w:eastAsia="Times New Roman" w:hAnsi="Times New Roman"/>
          <w:sz w:val="15"/>
          <w:szCs w:val="15"/>
          <w:color w:val="auto"/>
        </w:rPr>
      </w:pPr>
    </w:p>
    <w:p>
      <w:pPr>
        <w:ind w:left="280" w:right="140" w:hanging="279"/>
        <w:spacing w:after="0" w:line="268"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Issuance of Undesignated Preferred Stock</w:t>
      </w:r>
      <w:r>
        <w:rPr>
          <w:rFonts w:ascii="Times New Roman" w:cs="Times New Roman" w:eastAsia="Times New Roman" w:hAnsi="Times New Roman"/>
          <w:sz w:val="15"/>
          <w:szCs w:val="15"/>
          <w:color w:val="auto"/>
        </w:rPr>
        <w:t>. Our amended and restated certificate of incorporation provides that our board of directors has the authority, without further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45" w:lineRule="exact"/>
        <w:rPr>
          <w:rFonts w:ascii="Times New Roman" w:cs="Times New Roman" w:eastAsia="Times New Roman" w:hAnsi="Times New Roman"/>
          <w:sz w:val="15"/>
          <w:szCs w:val="15"/>
          <w:color w:val="auto"/>
        </w:rPr>
      </w:pPr>
    </w:p>
    <w:p>
      <w:pPr>
        <w:ind w:left="280" w:right="100" w:hanging="279"/>
        <w:spacing w:after="0" w:line="261" w:lineRule="auto"/>
        <w:tabs>
          <w:tab w:leader="none" w:pos="28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Choice of Forum</w:t>
      </w:r>
      <w:r>
        <w:rPr>
          <w:rFonts w:ascii="Times New Roman" w:cs="Times New Roman" w:eastAsia="Times New Roman" w:hAnsi="Times New Roman"/>
          <w:sz w:val="15"/>
          <w:szCs w:val="15"/>
          <w:color w:val="auto"/>
        </w:rPr>
        <w:t>. Our amended and restated certificate of incorporation provides that, unless we consent in writing to the selection of an alternative forum and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fullest extent permitted by law,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be the sole and exclusive forum for: (a) any derivative action, suit or proceeding brought on behalf of us;</w:t>
      </w:r>
    </w:p>
    <w:p>
      <w:pPr>
        <w:spacing w:after="0" w:line="1" w:lineRule="exact"/>
        <w:rPr>
          <w:rFonts w:ascii="Times New Roman" w:cs="Times New Roman" w:eastAsia="Times New Roman" w:hAnsi="Times New Roman"/>
          <w:sz w:val="15"/>
          <w:szCs w:val="15"/>
          <w:color w:val="auto"/>
        </w:rPr>
      </w:pPr>
    </w:p>
    <w:p>
      <w:pPr>
        <w:ind w:left="280"/>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any action, suit or proceeding asserting a claim of breach of a fiduciary duty owed by any current or former director, officer, employee, or agent of ours, or any action asserting a claim for aiding and abetting any such breach of fiduciary duty; (c) any action, suit or proceeding asserting a claim against us or any current or former director, officer or employee of ours arising out of or pursuant to, or seeking to enforce any right, obligation or remedy under, or to interpret, apply or determine the validity of, any provision of the DGCL, the amended and restated certificate of incorporation or the amended and restated bylaws (as each may be amended from time to time); (d) any action, suit or proceeding as to which the DGCL confers jurisdiction on the Court of Chancery of the State of Delaware or (e) any action, suit or proceeding asserting a claim against us or any current or former director, officer or employee of ours governed by the internal affairs doctrine, in all cases subject to the court’s having personal jurisdiction over the indispensable parties named as defendants. However, such forum selection provisions will not apply to actions, suits or proceedings brought to enforce any liability or duty created by the Exchange Act or any other claim for which the federal courts of the United States have exclusive jurisdiction. The amended and restated certificate of incorporation also provides that, unless we consent in writing to the selection of an alternative forum, the federal district courts of the</w:t>
      </w:r>
    </w:p>
    <w:p>
      <w:pPr>
        <w:spacing w:after="0" w:line="5" w:lineRule="exact"/>
        <w:rPr>
          <w:rFonts w:ascii="Times New Roman" w:cs="Times New Roman" w:eastAsia="Times New Roman" w:hAnsi="Times New Roman"/>
          <w:sz w:val="15"/>
          <w:szCs w:val="15"/>
          <w:color w:val="auto"/>
        </w:rPr>
      </w:pPr>
    </w:p>
    <w:p>
      <w:pPr>
        <w:ind w:left="2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United States of America will be the exclusive forum for the resolution of any complaint asserting a cause of action arising under the Securities Act.</w:t>
      </w:r>
    </w:p>
    <w:p>
      <w:pPr>
        <w:spacing w:after="0" w:line="35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13970</wp:posOffset>
            </wp:positionV>
            <wp:extent cx="7153275"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700"/>
          </w:cols>
          <w:pgMar w:left="860" w:top="785" w:right="339" w:bottom="1440" w:gutter="0" w:footer="0" w:header="0"/>
        </w:sectPr>
      </w:pPr>
    </w:p>
    <w:bookmarkStart w:id="16" w:name="page17"/>
    <w:bookmarkEnd w:id="16"/>
    <w:p>
      <w:pPr>
        <w:ind w:right="60" w:firstLine="549"/>
        <w:spacing w:after="0" w:line="263" w:lineRule="auto"/>
        <w:rPr>
          <w:sz w:val="20"/>
          <w:szCs w:val="20"/>
          <w:color w:val="auto"/>
        </w:rPr>
      </w:pPr>
      <w:r>
        <w:rPr>
          <w:rFonts w:ascii="Times New Roman" w:cs="Times New Roman" w:eastAsia="Times New Roman" w:hAnsi="Times New Roman"/>
          <w:sz w:val="15"/>
          <w:szCs w:val="15"/>
          <w:color w:val="auto"/>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amended and restated certificate of incorporation provides that the federal district courts of the United States will have exclusive jurisdiction over any action asserting a cause of action arising under the Securities Act. Accordingly, there is uncertainty as to whether a court would enforce such provision. Our stockholders will not be deemed to have waived our compliance with the federal securities laws and the rules and regulations thereunder.</w:t>
      </w:r>
    </w:p>
    <w:p>
      <w:pPr>
        <w:spacing w:after="0" w:line="154" w:lineRule="exact"/>
        <w:rPr>
          <w:sz w:val="20"/>
          <w:szCs w:val="20"/>
          <w:color w:val="auto"/>
        </w:rPr>
      </w:pPr>
    </w:p>
    <w:p>
      <w:pPr>
        <w:ind w:right="40" w:firstLine="549"/>
        <w:spacing w:after="0" w:line="263" w:lineRule="auto"/>
        <w:rPr>
          <w:sz w:val="20"/>
          <w:szCs w:val="20"/>
          <w:color w:val="auto"/>
        </w:rPr>
      </w:pPr>
      <w:r>
        <w:rPr>
          <w:rFonts w:ascii="Times New Roman" w:cs="Times New Roman" w:eastAsia="Times New Roman" w:hAnsi="Times New Roman"/>
          <w:sz w:val="15"/>
          <w:szCs w:val="15"/>
          <w:color w:val="auto"/>
        </w:rPr>
        <w:t>Section 27 of the Exchange Act creates exclusive federal jurisdiction over all claims brought to enforce any duty or liability created by the Exchange Act or the rules and regulations thereunder. As noted above, the amended and restated certificate of incorporation provides that the choice of forum provision does not apply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54" w:lineRule="exact"/>
        <w:rPr>
          <w:sz w:val="20"/>
          <w:szCs w:val="20"/>
          <w:color w:val="auto"/>
        </w:rPr>
      </w:pPr>
    </w:p>
    <w:p>
      <w:pPr>
        <w:ind w:right="320" w:firstLine="549"/>
        <w:spacing w:after="0" w:line="290" w:lineRule="auto"/>
        <w:rPr>
          <w:sz w:val="20"/>
          <w:szCs w:val="20"/>
          <w:color w:val="auto"/>
        </w:rPr>
      </w:pPr>
      <w:r>
        <w:rPr>
          <w:rFonts w:ascii="Times New Roman" w:cs="Times New Roman" w:eastAsia="Times New Roman" w:hAnsi="Times New Roman"/>
          <w:sz w:val="15"/>
          <w:szCs w:val="15"/>
          <w:color w:val="auto"/>
        </w:rPr>
        <w:t>Any person or entity purchasing or otherwise acquiring or holding any interest in shares of our capital stock shall be deemed to have notice of and consented to the forum selection provisions in the amended and restated certificate of incorporation.</w:t>
      </w:r>
    </w:p>
    <w:p>
      <w:pPr>
        <w:spacing w:after="0" w:line="133" w:lineRule="exact"/>
        <w:rPr>
          <w:sz w:val="20"/>
          <w:szCs w:val="20"/>
          <w:color w:val="auto"/>
        </w:rPr>
      </w:pPr>
    </w:p>
    <w:p>
      <w:pPr>
        <w:ind w:right="80" w:firstLine="549"/>
        <w:spacing w:after="0" w:line="266" w:lineRule="auto"/>
        <w:rPr>
          <w:sz w:val="20"/>
          <w:szCs w:val="20"/>
          <w:color w:val="auto"/>
        </w:rPr>
      </w:pPr>
      <w:r>
        <w:rPr>
          <w:rFonts w:ascii="Times New Roman" w:cs="Times New Roman" w:eastAsia="Times New Roman" w:hAnsi="Times New Roman"/>
          <w:sz w:val="15"/>
          <w:szCs w:val="15"/>
          <w:color w:val="auto"/>
        </w:rPr>
        <w:t>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the amended and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Limitation on Liability and Indemnification of Directors and Officers</w:t>
      </w:r>
    </w:p>
    <w:p>
      <w:pPr>
        <w:spacing w:after="0" w:line="198" w:lineRule="exact"/>
        <w:rPr>
          <w:sz w:val="20"/>
          <w:szCs w:val="20"/>
          <w:color w:val="auto"/>
        </w:rPr>
      </w:pPr>
    </w:p>
    <w:p>
      <w:pPr>
        <w:ind w:right="20" w:firstLine="549"/>
        <w:spacing w:after="0" w:line="266" w:lineRule="auto"/>
        <w:rPr>
          <w:sz w:val="20"/>
          <w:szCs w:val="20"/>
          <w:color w:val="auto"/>
        </w:rPr>
      </w:pPr>
      <w:r>
        <w:rPr>
          <w:rFonts w:ascii="Times New Roman" w:cs="Times New Roman" w:eastAsia="Times New Roman" w:hAnsi="Times New Roman"/>
          <w:sz w:val="15"/>
          <w:szCs w:val="15"/>
          <w:color w:val="auto"/>
        </w:rPr>
        <w:t>The amended and restated bylaws provide that our directors and officers will be indemnified and advanced expenses by us to the fullest extent authorized or permitted by the DGCL as it now exists or may in the future be amended. In addition, the amended and restated certificate of incorporation provides that our directors and officers will not be personally liable to us or our stockholders for monetary damages for breaches of their fiduciary duty as directors or officers to the fullest extent permitted by the DGCL as it now exists or may in the future be amended.</w:t>
      </w:r>
    </w:p>
    <w:p>
      <w:pPr>
        <w:spacing w:after="0" w:line="151"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amended and restated bylaws also permit us to purchase and maintain insurance on behalf of any officer, director, employee or agent of ours for any liability arising out of his or her status as such, regardless of whether the DGCL would permit indemnification.</w:t>
      </w:r>
    </w:p>
    <w:p>
      <w:pPr>
        <w:spacing w:after="0" w:line="133" w:lineRule="exact"/>
        <w:rPr>
          <w:sz w:val="20"/>
          <w:szCs w:val="20"/>
          <w:color w:val="auto"/>
        </w:rPr>
      </w:pPr>
    </w:p>
    <w:p>
      <w:pPr>
        <w:ind w:right="100" w:firstLine="549"/>
        <w:spacing w:after="0" w:line="266" w:lineRule="auto"/>
        <w:rPr>
          <w:sz w:val="20"/>
          <w:szCs w:val="20"/>
          <w:color w:val="auto"/>
        </w:rPr>
      </w:pPr>
      <w:r>
        <w:rPr>
          <w:rFonts w:ascii="Times New Roman" w:cs="Times New Roman" w:eastAsia="Times New Roman" w:hAnsi="Times New Roman"/>
          <w:sz w:val="15"/>
          <w:szCs w:val="15"/>
          <w:color w:val="auto"/>
        </w:rPr>
        <w:t>These provisions may discourage stockholders from bringing a lawsuit against our directors for breach of their fiduciary duty. These provisions also may have the effect of reducing the likelihood of derivative litigation against our directors and officers, even though such an action, if successful, might otherwise benefit us and our stockholders. Furthermore, a stockholder’s investment may be adversely affected to the extent we pay the costs of settlement and damage awards against our directors and officers pursuant to these indemnification provisions.</w:t>
      </w:r>
    </w:p>
    <w:p>
      <w:pPr>
        <w:spacing w:after="0" w:line="151" w:lineRule="exact"/>
        <w:rPr>
          <w:sz w:val="20"/>
          <w:szCs w:val="20"/>
          <w:color w:val="auto"/>
        </w:rPr>
      </w:pPr>
    </w:p>
    <w:p>
      <w:pPr>
        <w:ind w:right="640" w:firstLine="549"/>
        <w:spacing w:after="0" w:line="290"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our directors, officers and controlling persons pursuant to the foregoing provisions, or otherwise, in the opinion of the SEC, such indemnification is against public policy as expressed in the Securities Act and is, therefore, unenforceable.</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DEBT SECURITIES</w:t>
      </w:r>
    </w:p>
    <w:p>
      <w:pPr>
        <w:spacing w:after="0" w:line="198"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base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51"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We will issue the debt securities under one or more separate indentures that we will enter into with the trustee named in the indenture. The indenture will be qualified under the Trust Indenture Act of 1939, as amended (the “Trust Indenture Act”). We have filed a form of indenture under which debt securities may be issued from time to time as an exhibit to the registration statement of which this base prospectus is a part, and supplemental indentures and forms of debt securities containing the terms of the debt securities being offered will be filed as exhibits to the registration statement of which this base prospectus is a part or will be incorporated by reference from reports that we file with the SEC.</w:t>
      </w:r>
    </w:p>
    <w:p>
      <w:pPr>
        <w:spacing w:after="0" w:line="151" w:lineRule="exact"/>
        <w:rPr>
          <w:sz w:val="20"/>
          <w:szCs w:val="20"/>
          <w:color w:val="auto"/>
        </w:rPr>
      </w:pPr>
    </w:p>
    <w:p>
      <w:pPr>
        <w:jc w:val="both"/>
        <w:ind w:right="300" w:firstLine="549"/>
        <w:spacing w:after="0" w:line="272" w:lineRule="auto"/>
        <w:rPr>
          <w:sz w:val="20"/>
          <w:szCs w:val="20"/>
          <w:color w:val="auto"/>
        </w:rPr>
      </w:pPr>
      <w:r>
        <w:rPr>
          <w:rFonts w:ascii="Times New Roman" w:cs="Times New Roman" w:eastAsia="Times New Roman" w:hAnsi="Times New Roman"/>
          <w:sz w:val="15"/>
          <w:szCs w:val="15"/>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base prospectus, as well as the complete indenture that contains the terms of the debt securities.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debt securities will represent unsecured general obligations of the Company, unless otherwise provided in the applicable offering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8" w:lineRule="exact"/>
        <w:rPr>
          <w:sz w:val="20"/>
          <w:szCs w:val="20"/>
          <w:color w:val="auto"/>
        </w:rPr>
      </w:pPr>
    </w:p>
    <w:p>
      <w:pPr>
        <w:jc w:val="both"/>
        <w:ind w:right="220" w:firstLine="549"/>
        <w:spacing w:after="0" w:line="272" w:lineRule="auto"/>
        <w:rPr>
          <w:sz w:val="20"/>
          <w:szCs w:val="20"/>
          <w:color w:val="auto"/>
        </w:rPr>
      </w:pPr>
      <w:r>
        <w:rPr>
          <w:rFonts w:ascii="Times New Roman" w:cs="Times New Roman" w:eastAsia="Times New Roman" w:hAnsi="Times New Roman"/>
          <w:sz w:val="15"/>
          <w:szCs w:val="15"/>
          <w:color w:val="auto"/>
        </w:rPr>
        <w:t>The indenture does not limit the amount of debt securities that we may issue. It provides that we may issue debt securities up to the principal amount that we may authorize and may be in any currency or currency unit that we may designate. The prospectus supplement, documents incorporated by reference, or free writing prospectus with respect to any debt securities will set forth the following terms of the debt securities offered pursuant thereto as applicable:</w:t>
      </w:r>
    </w:p>
    <w:p>
      <w:pPr>
        <w:spacing w:after="0" w:line="146" w:lineRule="exact"/>
        <w:rPr>
          <w:sz w:val="20"/>
          <w:szCs w:val="20"/>
          <w:color w:val="auto"/>
        </w:rPr>
      </w:pPr>
    </w:p>
    <w:p>
      <w:pPr>
        <w:ind w:left="820" w:hanging="279"/>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and series of such debt securities;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amount being offered;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total amount authorized and the total amount outstanding as of the most recent practicable date;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upon the aggregate principal amount of such debt securities of such series;</w:t>
      </w:r>
    </w:p>
    <w:p>
      <w:pPr>
        <w:spacing w:after="0" w:line="193" w:lineRule="exact"/>
        <w:rPr>
          <w:rFonts w:ascii="Times New Roman" w:cs="Times New Roman" w:eastAsia="Times New Roman" w:hAnsi="Times New Roman"/>
          <w:sz w:val="15"/>
          <w:szCs w:val="15"/>
          <w:color w:val="auto"/>
        </w:rPr>
      </w:pPr>
    </w:p>
    <w:p>
      <w:pPr>
        <w:ind w:left="820" w:right="420" w:hanging="279"/>
        <w:spacing w:after="0" w:line="290" w:lineRule="auto"/>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such debt securities will be in global or other form; the date or dates and method or methods by which principal and any premium on such debt securities is payable;</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interest rate or rates (or method by which such rate will be determined), if any;</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any such interest will start accruing, become payable, record dates for interest payments and the method of payment;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and under what circumstances any additional amounts are payable with respect to such debt securities;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notice, if any, to holders of such debt securities regarding the determination of interest on a floating rate debt security;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8" w:name="page19"/>
    <w:bookmarkEnd w:id="18"/>
    <w:p>
      <w:pPr>
        <w:ind w:left="820" w:hanging="279"/>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basis upon which interest on such debt securities shall be calculated, if other than that of a 360 day year of twelve 30-day months;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or places where the principal of and interest or additional amounts, if any, on such debt securities will be payable;</w:t>
      </w:r>
    </w:p>
    <w:p>
      <w:pPr>
        <w:spacing w:after="0" w:line="193" w:lineRule="exact"/>
        <w:rPr>
          <w:rFonts w:ascii="Times New Roman" w:cs="Times New Roman" w:eastAsia="Times New Roman" w:hAnsi="Times New Roman"/>
          <w:sz w:val="15"/>
          <w:szCs w:val="15"/>
          <w:color w:val="auto"/>
        </w:rPr>
      </w:pPr>
    </w:p>
    <w:p>
      <w:pPr>
        <w:ind w:left="820" w:right="160" w:hanging="279"/>
        <w:spacing w:after="0" w:line="290" w:lineRule="auto"/>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redemption or sinking fund provisions, or the terms of any repurchase at the option of the holder of the debt securities; the denominations of such debt securities, if other than $1,000 and integral multiples thereof;</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rights of the holders of such debt securities to convert the debt securities into and/or exchange the debt securities for, other securities, cash or other property;</w:t>
      </w:r>
    </w:p>
    <w:p>
      <w:pPr>
        <w:spacing w:after="0" w:line="193" w:lineRule="exact"/>
        <w:rPr>
          <w:rFonts w:ascii="Times New Roman" w:cs="Times New Roman" w:eastAsia="Times New Roman" w:hAnsi="Times New Roman"/>
          <w:sz w:val="15"/>
          <w:szCs w:val="15"/>
          <w:color w:val="auto"/>
        </w:rPr>
      </w:pPr>
    </w:p>
    <w:p>
      <w:pPr>
        <w:ind w:left="820" w:right="660" w:hanging="279"/>
        <w:spacing w:after="0" w:line="290" w:lineRule="auto"/>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if any, on which payment of principal or any premium, interest or additional amounts on such debt securities will be payable in a currency other than U.S. dollars;</w:t>
      </w:r>
    </w:p>
    <w:p>
      <w:pPr>
        <w:spacing w:after="0" w:line="132" w:lineRule="exact"/>
        <w:rPr>
          <w:rFonts w:ascii="Times New Roman" w:cs="Times New Roman" w:eastAsia="Times New Roman" w:hAnsi="Times New Roman"/>
          <w:sz w:val="15"/>
          <w:szCs w:val="15"/>
          <w:color w:val="auto"/>
        </w:rPr>
      </w:pPr>
    </w:p>
    <w:p>
      <w:pPr>
        <w:ind w:left="820" w:right="20" w:hanging="279"/>
        <w:spacing w:after="0" w:line="290" w:lineRule="auto"/>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if any, by which the amount of payments of principal or any premium, interest or additional amounts on such debt securities may be determined by reference to an index, formula, financial or economic measure or other methods;</w:t>
      </w:r>
    </w:p>
    <w:p>
      <w:pPr>
        <w:spacing w:after="0" w:line="132" w:lineRule="exact"/>
        <w:rPr>
          <w:rFonts w:ascii="Times New Roman" w:cs="Times New Roman" w:eastAsia="Times New Roman" w:hAnsi="Times New Roman"/>
          <w:sz w:val="15"/>
          <w:szCs w:val="15"/>
          <w:color w:val="auto"/>
        </w:rPr>
      </w:pPr>
    </w:p>
    <w:p>
      <w:pPr>
        <w:ind w:left="820" w:right="80" w:hanging="279"/>
        <w:spacing w:after="0" w:line="290" w:lineRule="auto"/>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the principal amount thereof, the portion of the principal amount of such debt securities that will be payable upon declaration of acceleration of the maturity thereof or the method by which such portion is to be determined;</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events of default or covenants in addition to or in lieu of those described herein and remedies therefor;</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such debt securities will be subject to defeasance or covenant defeasance;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if any, upon which such debt securities are to be issuable upon the exercise of warrants, units or rights;</w:t>
      </w:r>
    </w:p>
    <w:p>
      <w:pPr>
        <w:spacing w:after="0" w:line="193" w:lineRule="exact"/>
        <w:rPr>
          <w:rFonts w:ascii="Times New Roman" w:cs="Times New Roman" w:eastAsia="Times New Roman" w:hAnsi="Times New Roman"/>
          <w:sz w:val="15"/>
          <w:szCs w:val="15"/>
          <w:color w:val="auto"/>
        </w:rPr>
      </w:pPr>
    </w:p>
    <w:p>
      <w:pPr>
        <w:ind w:left="820" w:right="480" w:hanging="279"/>
        <w:spacing w:after="0" w:line="290" w:lineRule="auto"/>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name of any trustees and any authenticating or paying agents or registrars or depositaries or any other agents with respect to such debt securities; whether the debt securities rank as senior debt, senior subordinated debt, subordinated debt or any combination thereof, and the terms of any subordination;</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such debt securities will be guaranteed and the terms thereof;</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such debt securities will be secured by collateral and the terms of such security; and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of such debt securities and any other deletions from or additions to or modifications of the indenture with respect to such debt securities.</w:t>
      </w:r>
    </w:p>
    <w:p>
      <w:pPr>
        <w:spacing w:after="0" w:line="194" w:lineRule="exact"/>
        <w:rPr>
          <w:sz w:val="20"/>
          <w:szCs w:val="20"/>
          <w:color w:val="auto"/>
        </w:rPr>
      </w:pPr>
    </w:p>
    <w:p>
      <w:pPr>
        <w:jc w:val="both"/>
        <w:ind w:right="500" w:firstLine="549"/>
        <w:spacing w:after="0" w:line="272" w:lineRule="auto"/>
        <w:rPr>
          <w:sz w:val="20"/>
          <w:szCs w:val="20"/>
          <w:color w:val="auto"/>
        </w:rPr>
      </w:pPr>
      <w:r>
        <w:rPr>
          <w:rFonts w:ascii="Times New Roman" w:cs="Times New Roman" w:eastAsia="Times New Roman" w:hAnsi="Times New Roman"/>
          <w:sz w:val="15"/>
          <w:szCs w:val="15"/>
          <w:color w:val="auto"/>
        </w:rPr>
        <w:t>Debt securities may be presented for exchange, conversion or transfer in the manner, at the places and subject to the restrictions set forth in the debt securities and the applicable offering material. Such services will be provided without charge, other than any tax or other governmental charge payable in connection therewith, but subject to the limitations provided in the indenture.</w:t>
      </w:r>
    </w:p>
    <w:p>
      <w:pPr>
        <w:spacing w:after="0" w:line="146"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indenture does not contain any covenant or other specific provision affording protection to holders of the debt securities in the event of a highly leveraged transaction or a change in control of the Company, except to the limited extent described below under “- Consolidation, Merger and Sale of Assets.”</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b w:val="1"/>
          <w:bCs w:val="1"/>
          <w:color w:val="auto"/>
        </w:rPr>
        <w:t>Modification and Waiver</w:t>
      </w:r>
    </w:p>
    <w:p>
      <w:pPr>
        <w:spacing w:after="0" w:line="198" w:lineRule="exact"/>
        <w:rPr>
          <w:sz w:val="20"/>
          <w:szCs w:val="20"/>
          <w:color w:val="auto"/>
        </w:rPr>
      </w:pPr>
    </w:p>
    <w:p>
      <w:pPr>
        <w:ind w:right="80" w:firstLine="549"/>
        <w:spacing w:after="0" w:line="263" w:lineRule="auto"/>
        <w:rPr>
          <w:sz w:val="20"/>
          <w:szCs w:val="20"/>
          <w:color w:val="auto"/>
        </w:rPr>
      </w:pPr>
      <w:r>
        <w:rPr>
          <w:rFonts w:ascii="Times New Roman" w:cs="Times New Roman" w:eastAsia="Times New Roman" w:hAnsi="Times New Roman"/>
          <w:sz w:val="15"/>
          <w:szCs w:val="15"/>
          <w:color w:val="auto"/>
        </w:rPr>
        <w:t>The indenture provides that supplements to the indenture may be made by the Company and the trustee for the purpose of adding any provisions to or changing in any manner or eliminating any of the provisions of the indenture or of modifying in any manner the rights of the holders of debt securities of a series under the indenture or the debt securities of such series, with the consent of the holders of a majority (or such greater amount as is provided for a particular series of debt securities) in principal amount of the outstanding debt securities issued under such indenture that are affected by the supplemental indenture, voting as a single class; provided that no such supplemental indenture may, without the consent of the holder of each such debt security affected thereby, among other things:</w:t>
      </w:r>
    </w:p>
    <w:p>
      <w:pPr>
        <w:spacing w:after="0" w:line="154" w:lineRule="exact"/>
        <w:rPr>
          <w:sz w:val="20"/>
          <w:szCs w:val="20"/>
          <w:color w:val="auto"/>
        </w:rPr>
      </w:pPr>
    </w:p>
    <w:p>
      <w:pPr>
        <w:ind w:left="820" w:hanging="279"/>
        <w:spacing w:after="0" w:line="260" w:lineRule="auto"/>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stated maturity of the principal of, or any premium, interest or additional amounts on, such debt securities, or reduce the principal amount thereof, or reduce the rate or extend the time of payment of interest or any additional amounts thereon, or reduce any premium payable upon the redemption thereof or otherwise, or change the obligation to pay additional amounts pursuant to the indenture, or reduce the amount of the principal of debt securities issued with original issue discount that would be due and payable upon an acceleration of the maturity thereof or the amount thereof provable in bankruptcy, or change the redemption provisions or adversely affect the right of repayment at the option of the holder, or change the place of payment or currency in which the principal of, or any premium, interest or additional amounts with respect to any debt security is payable, or impair the right of any holder of debt securities to institute suit for the payment after such payment is due (or, in the case of redemption, on or after such redemption date or, in the case of repayment at the option of the holder, on or after such payment is due);</w:t>
      </w:r>
    </w:p>
    <w:p>
      <w:pPr>
        <w:spacing w:after="0" w:line="157" w:lineRule="exact"/>
        <w:rPr>
          <w:rFonts w:ascii="Times New Roman" w:cs="Times New Roman" w:eastAsia="Times New Roman" w:hAnsi="Times New Roman"/>
          <w:sz w:val="15"/>
          <w:szCs w:val="15"/>
          <w:color w:val="auto"/>
        </w:rPr>
      </w:pPr>
    </w:p>
    <w:p>
      <w:pPr>
        <w:ind w:left="820" w:right="40" w:hanging="279"/>
        <w:spacing w:after="0" w:line="290" w:lineRule="auto"/>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percentage in principal amount of outstanding debt securities of any series, the consent of the holders of which is required for any such supplemental indenture, or the consent of whose holders is required for any waiver provided for in the indenture, or reduce the requirements for quorum or voting;</w:t>
      </w:r>
    </w:p>
    <w:p>
      <w:pPr>
        <w:spacing w:after="0" w:line="132" w:lineRule="exact"/>
        <w:rPr>
          <w:rFonts w:ascii="Times New Roman" w:cs="Times New Roman" w:eastAsia="Times New Roman" w:hAnsi="Times New Roman"/>
          <w:sz w:val="15"/>
          <w:szCs w:val="15"/>
          <w:color w:val="auto"/>
        </w:rPr>
      </w:pPr>
    </w:p>
    <w:p>
      <w:pPr>
        <w:jc w:val="both"/>
        <w:ind w:left="820" w:right="180" w:hanging="279"/>
        <w:spacing w:after="0" w:line="272" w:lineRule="auto"/>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modify any of the provisions of the sections of such indenture relating to supplemental indentures with the consent of the holders, waivers of past or existing defaults or waivers of certain covenants, except to increase any such percentage or to provide that certain other provisions of such indenture cannot be modified or waived without the consent of each holder affected thereby; or</w:t>
      </w:r>
    </w:p>
    <w:p>
      <w:pPr>
        <w:spacing w:after="0" w:line="146" w:lineRule="exact"/>
        <w:rPr>
          <w:rFonts w:ascii="Times New Roman" w:cs="Times New Roman" w:eastAsia="Times New Roman" w:hAnsi="Times New Roman"/>
          <w:sz w:val="15"/>
          <w:szCs w:val="15"/>
          <w:color w:val="auto"/>
        </w:rPr>
      </w:pPr>
    </w:p>
    <w:p>
      <w:pPr>
        <w:ind w:left="820" w:right="280" w:hanging="279"/>
        <w:spacing w:after="0" w:line="290" w:lineRule="auto"/>
        <w:tabs>
          <w:tab w:leader="none" w:pos="82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that adversely affects the right to convert or exchange any security into or for common stock or other securities, cash or other property in accordance with the terms of the applicable debt security.</w:t>
      </w:r>
    </w:p>
    <w:p>
      <w:pPr>
        <w:spacing w:after="0" w:line="133" w:lineRule="exact"/>
        <w:rPr>
          <w:sz w:val="20"/>
          <w:szCs w:val="20"/>
          <w:color w:val="auto"/>
        </w:rPr>
      </w:pPr>
    </w:p>
    <w:p>
      <w:pPr>
        <w:jc w:val="both"/>
        <w:ind w:right="160" w:firstLine="549"/>
        <w:spacing w:after="0" w:line="272" w:lineRule="auto"/>
        <w:rPr>
          <w:sz w:val="20"/>
          <w:szCs w:val="20"/>
          <w:color w:val="auto"/>
        </w:rPr>
      </w:pPr>
      <w:r>
        <w:rPr>
          <w:rFonts w:ascii="Times New Roman" w:cs="Times New Roman" w:eastAsia="Times New Roman" w:hAnsi="Times New Roman"/>
          <w:sz w:val="15"/>
          <w:szCs w:val="15"/>
          <w:color w:val="auto"/>
        </w:rPr>
        <w:t>The indenture provides that a supplemental indenture that changes or eliminates any covenant or other provision of the indenture that has expressly been included solely for the benefit of one or more particular series of debt securities, or that modifies the rights of the holders of such series with respect to such covenant or other provision, shall be deemed not to affect the rights under the indenture of the holders of debt securities of any other series.</w:t>
      </w:r>
    </w:p>
    <w:p>
      <w:pPr>
        <w:spacing w:after="0" w:line="146" w:lineRule="exact"/>
        <w:rPr>
          <w:sz w:val="20"/>
          <w:szCs w:val="20"/>
          <w:color w:val="auto"/>
        </w:rPr>
      </w:pPr>
    </w:p>
    <w:p>
      <w:pPr>
        <w:ind w:right="520" w:firstLine="549"/>
        <w:spacing w:after="0" w:line="290" w:lineRule="auto"/>
        <w:rPr>
          <w:sz w:val="20"/>
          <w:szCs w:val="20"/>
          <w:color w:val="auto"/>
        </w:rPr>
      </w:pPr>
      <w:r>
        <w:rPr>
          <w:rFonts w:ascii="Times New Roman" w:cs="Times New Roman" w:eastAsia="Times New Roman" w:hAnsi="Times New Roman"/>
          <w:sz w:val="15"/>
          <w:szCs w:val="15"/>
          <w:color w:val="auto"/>
        </w:rPr>
        <w:t>The indenture provides that the Company and the trustee may, without the consent of the holders of any series of debt securities issued thereunder, enter into additional supplemental indentures for one of the following purposes:</w:t>
      </w:r>
    </w:p>
    <w:p>
      <w:pPr>
        <w:spacing w:after="0" w:line="133" w:lineRule="exact"/>
        <w:rPr>
          <w:sz w:val="20"/>
          <w:szCs w:val="20"/>
          <w:color w:val="auto"/>
        </w:rPr>
      </w:pPr>
    </w:p>
    <w:p>
      <w:pPr>
        <w:ind w:left="820" w:right="20" w:hanging="279"/>
        <w:spacing w:after="0" w:line="290" w:lineRule="auto"/>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the succession of another corporation to the Company and the assumption by any such successor of the covenants of the Company in such indenture and in the debt securities issued thereunder;</w:t>
      </w:r>
    </w:p>
    <w:p>
      <w:pPr>
        <w:spacing w:after="0" w:line="132" w:lineRule="exact"/>
        <w:rPr>
          <w:rFonts w:ascii="Times New Roman" w:cs="Times New Roman" w:eastAsia="Times New Roman" w:hAnsi="Times New Roman"/>
          <w:sz w:val="15"/>
          <w:szCs w:val="15"/>
          <w:color w:val="auto"/>
        </w:rPr>
      </w:pPr>
    </w:p>
    <w:p>
      <w:pPr>
        <w:ind w:left="820" w:right="100" w:hanging="279"/>
        <w:spacing w:after="0" w:line="290" w:lineRule="auto"/>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the covenants of the Company for the benefit of the holders of any series of debt securities issued thereunder or to surrender any right or power conferred on the Company pursuant to the indenture;</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establish the form and terms of debt securities issued thereunder;</w:t>
      </w:r>
    </w:p>
    <w:p>
      <w:pPr>
        <w:spacing w:after="0" w:line="193" w:lineRule="exact"/>
        <w:rPr>
          <w:rFonts w:ascii="Times New Roman" w:cs="Times New Roman" w:eastAsia="Times New Roman" w:hAnsi="Times New Roman"/>
          <w:sz w:val="15"/>
          <w:szCs w:val="15"/>
          <w:color w:val="auto"/>
        </w:rPr>
      </w:pPr>
    </w:p>
    <w:p>
      <w:pPr>
        <w:ind w:left="820" w:right="180" w:hanging="279"/>
        <w:spacing w:after="0" w:line="272" w:lineRule="auto"/>
        <w:tabs>
          <w:tab w:leader="none" w:pos="820"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an appointment of a successor trustee under such indenture with respect to one or more series of debt securities issued thereunder and to add to or change any of the provisions of the indenture as necessary to provide for or facilitate the administration of the trusts under such indenture by more than one trustee pursuant to the indenture;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0" w:name="page21"/>
    <w:bookmarkEnd w:id="20"/>
    <w:p>
      <w:pPr>
        <w:ind w:left="820" w:right="120" w:hanging="279"/>
        <w:spacing w:after="0" w:line="272" w:lineRule="auto"/>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to correct or supplement any provision in the indenture that may be defective or inconsistent with any other provision of the indenture or to make any other provisions with respect to matters or questions arising under such indenture; provided that no such action pursuant to this clause (e) shall adversely affect the interests of the holders of any series of outstanding debt securities issued thereunder in any material respect;</w:t>
      </w:r>
    </w:p>
    <w:p>
      <w:pPr>
        <w:spacing w:after="0" w:line="146" w:lineRule="exact"/>
        <w:rPr>
          <w:rFonts w:ascii="Times New Roman" w:cs="Times New Roman" w:eastAsia="Times New Roman" w:hAnsi="Times New Roman"/>
          <w:sz w:val="15"/>
          <w:szCs w:val="15"/>
          <w:color w:val="auto"/>
        </w:rPr>
      </w:pPr>
    </w:p>
    <w:p>
      <w:pPr>
        <w:ind w:left="820" w:right="120" w:hanging="279"/>
        <w:spacing w:after="0" w:line="290" w:lineRule="auto"/>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delete from or revise the conditions, limitations and restrictions on the authorized amount, terms or purposes of issue, authentication and delivery of securities under the indenture;</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any additional events of default with respect to all or any series of debt securities (as shall be specified in such supplemental indenture);</w:t>
      </w:r>
    </w:p>
    <w:p>
      <w:pPr>
        <w:spacing w:after="0" w:line="193" w:lineRule="exact"/>
        <w:rPr>
          <w:rFonts w:ascii="Times New Roman" w:cs="Times New Roman" w:eastAsia="Times New Roman" w:hAnsi="Times New Roman"/>
          <w:sz w:val="15"/>
          <w:szCs w:val="15"/>
          <w:color w:val="auto"/>
        </w:rPr>
      </w:pPr>
    </w:p>
    <w:p>
      <w:pPr>
        <w:ind w:left="820" w:hanging="279"/>
        <w:spacing w:after="0" w:line="290" w:lineRule="auto"/>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supplement any of the provisions of the indenture as may be necessary to permit or facilitate the defeasance and discharge of any series of debt securities, provided that such action does not adversely affect the interests of any holder of an outstanding debt security of such series or any other security in any material respect;</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provisions with respect to the conversion or exchange rights of holders of debt securities of any series;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guarantees in respect of the debt securities of one or more series and to provide for the terms and conditions of release thereof;</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convey, transfer, assign, mortgage or pledge to the trustee as security for the debt securities of any series any property or assets;</w:t>
      </w:r>
    </w:p>
    <w:p>
      <w:pPr>
        <w:spacing w:after="0" w:line="193" w:lineRule="exact"/>
        <w:rPr>
          <w:rFonts w:ascii="Times New Roman" w:cs="Times New Roman" w:eastAsia="Times New Roman" w:hAnsi="Times New Roman"/>
          <w:sz w:val="15"/>
          <w:szCs w:val="15"/>
          <w:color w:val="auto"/>
        </w:rPr>
      </w:pPr>
    </w:p>
    <w:p>
      <w:pPr>
        <w:ind w:left="820" w:right="100" w:hanging="279"/>
        <w:spacing w:after="0" w:line="290" w:lineRule="auto"/>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change or eliminate any of the provisions of the indenture, provided that any such change or elimination become effective only when there is no security of any series outstanding created prior to the execution of such supplemental indenture which is entitled to the benefit of such provision;</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certificated securities in addition to or in place of global securities;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qualify such indenture under the Trust Indenture Act;</w:t>
      </w:r>
    </w:p>
    <w:p>
      <w:pPr>
        <w:spacing w:after="0" w:line="193" w:lineRule="exact"/>
        <w:rPr>
          <w:rFonts w:ascii="Times New Roman" w:cs="Times New Roman" w:eastAsia="Times New Roman" w:hAnsi="Times New Roman"/>
          <w:sz w:val="15"/>
          <w:szCs w:val="15"/>
          <w:color w:val="auto"/>
        </w:rPr>
      </w:pPr>
    </w:p>
    <w:p>
      <w:pPr>
        <w:jc w:val="both"/>
        <w:ind w:left="820" w:right="100" w:hanging="279"/>
        <w:spacing w:after="0" w:line="272" w:lineRule="auto"/>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debt securities of any series, to conform the text of the indenture or the debt securities of such series to any provision of the description thereof in the Company’s offering memorandum or prospectus relating to the initial offering of such debt securities, to the extent that such provision, in the good faith judgment of the Company, was intended to be a verbatim recitation of a provision of the indenture or such securities; or</w:t>
      </w:r>
    </w:p>
    <w:p>
      <w:pPr>
        <w:spacing w:after="0" w:line="146"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other change that does not adversely affect the rights of holders of any series of debt securities issued thereunder in any material respect.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Events of Default</w:t>
      </w:r>
    </w:p>
    <w:p>
      <w:pPr>
        <w:spacing w:after="0" w:line="198" w:lineRule="exact"/>
        <w:rPr>
          <w:sz w:val="20"/>
          <w:szCs w:val="20"/>
          <w:color w:val="auto"/>
        </w:rPr>
      </w:pPr>
    </w:p>
    <w:p>
      <w:pPr>
        <w:ind w:right="160" w:firstLine="549"/>
        <w:spacing w:after="0" w:line="290" w:lineRule="auto"/>
        <w:rPr>
          <w:sz w:val="20"/>
          <w:szCs w:val="20"/>
          <w:color w:val="auto"/>
        </w:rPr>
      </w:pPr>
      <w:r>
        <w:rPr>
          <w:rFonts w:ascii="Times New Roman" w:cs="Times New Roman" w:eastAsia="Times New Roman" w:hAnsi="Times New Roman"/>
          <w:sz w:val="15"/>
          <w:szCs w:val="15"/>
          <w:color w:val="auto"/>
        </w:rPr>
        <w:t>Unless otherwise provided in any applicable prospectus supplement, documents incorporated by reference or free writing prospectus, the following will be events of default under the indenture with respect to each series of debt securities issued thereunder:</w:t>
      </w:r>
    </w:p>
    <w:p>
      <w:pPr>
        <w:spacing w:after="0" w:line="133" w:lineRule="exact"/>
        <w:rPr>
          <w:sz w:val="20"/>
          <w:szCs w:val="20"/>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for 30 days in the payment when due of interest on, or any additional amount in respect of, any series of debt securities;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principal of or any premium on any series of the debt securities outstanding under the indenture when due and payable;</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21" w:name="page22"/>
    <w:bookmarkEnd w:id="21"/>
    <w:p>
      <w:pPr>
        <w:ind w:left="820" w:right="500" w:hanging="279"/>
        <w:spacing w:after="0" w:line="290" w:lineRule="auto"/>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deposit, if any, of any sinking fund payment when and as due by the terms of any debt security of such series, subject to any cure period that may be specified in any debt security of such series;</w:t>
      </w:r>
    </w:p>
    <w:p>
      <w:pPr>
        <w:spacing w:after="0" w:line="132" w:lineRule="exact"/>
        <w:rPr>
          <w:rFonts w:ascii="Times New Roman" w:cs="Times New Roman" w:eastAsia="Times New Roman" w:hAnsi="Times New Roman"/>
          <w:sz w:val="15"/>
          <w:szCs w:val="15"/>
          <w:color w:val="auto"/>
        </w:rPr>
      </w:pPr>
    </w:p>
    <w:p>
      <w:pPr>
        <w:ind w:left="820" w:hanging="279"/>
        <w:spacing w:after="0" w:line="263" w:lineRule="auto"/>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by the Company for 60 days after receipt by written notice from the trustee upon instruction from holders of at least 25% in principal amount of the debt securities outstanding of such series to observe or perform any of the other covenants or agreements in the indenture and stating that such notice is a “Notice of Default” pursuant to the indenture; provided, that if such failure cannot be cured within such 60-day period, such period shall be automatically extended by another 60 days so long as (i) such failure is subject to cure and (ii) the Company is using commercially reasonable efforts to cure such failure; and provided, further, that a failure to comply with any such other agreement in the indenture that results from a change in U.S. generally accepted accounting principles shall not be deemed to be an event of default;</w:t>
      </w:r>
    </w:p>
    <w:p>
      <w:pPr>
        <w:spacing w:after="0" w:line="15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events of bankruptcy, insolvency, reorganization or other similar action of the Company; and</w:t>
      </w:r>
    </w:p>
    <w:p>
      <w:pPr>
        <w:spacing w:after="0" w:line="193" w:lineRule="exact"/>
        <w:rPr>
          <w:rFonts w:ascii="Times New Roman" w:cs="Times New Roman" w:eastAsia="Times New Roman" w:hAnsi="Times New Roman"/>
          <w:sz w:val="15"/>
          <w:szCs w:val="15"/>
          <w:color w:val="auto"/>
        </w:rPr>
      </w:pPr>
    </w:p>
    <w:p>
      <w:pPr>
        <w:ind w:left="820" w:right="40" w:hanging="279"/>
        <w:spacing w:after="0" w:line="290" w:lineRule="auto"/>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provided in the indenture with respect to a particular series of debt securities, provided that any such event of default that results from a change in U.S. generally accepted accounting principles shall not be deemed to be an event of default.</w:t>
      </w:r>
    </w:p>
    <w:p>
      <w:pPr>
        <w:spacing w:after="0" w:line="133" w:lineRule="exact"/>
        <w:rPr>
          <w:sz w:val="20"/>
          <w:szCs w:val="20"/>
          <w:color w:val="auto"/>
        </w:rPr>
      </w:pPr>
    </w:p>
    <w:p>
      <w:pPr>
        <w:ind w:firstLine="549"/>
        <w:spacing w:after="0" w:line="259" w:lineRule="auto"/>
        <w:rPr>
          <w:sz w:val="20"/>
          <w:szCs w:val="20"/>
          <w:color w:val="auto"/>
        </w:rPr>
      </w:pPr>
      <w:r>
        <w:rPr>
          <w:rFonts w:ascii="Times New Roman" w:cs="Times New Roman" w:eastAsia="Times New Roman" w:hAnsi="Times New Roman"/>
          <w:sz w:val="15"/>
          <w:szCs w:val="15"/>
          <w:color w:val="auto"/>
        </w:rPr>
        <w:t>In case an event of default specified in clause (a) or (b) above shall occur and be continuing with respect to any series of debt securities, holders of at least 25%, and in case an event of default specified in any clause other than clause (a), (b) or (e) above shall occur and be continuing with respect to any series of debt securities, holders of at least a majority in aggregate principal amount of the debt securities of such series then outstanding may declare the principal (or, in the case of discounted debt securities, the amount specified in the terms thereof) of such series to be due and payable. If an event of default described in (e) above shall occur and be continuing then the principal amount (or, in the case of discounted debt securities, the amount specified in the terms thereof) of all the debt securities outstanding shall be and become due and payable immediately, without notice or other action by any holder or the trustee, to the full extent permitted by law. Any past or existing default or event of default with respect to particular series of debt securities under such indenture may be waived by the holders of a majority in aggregate principal amount of the outstanding debt securities of such series, except in each case a continuing default (1) in the payment of the principal of, any premium or interest on, or any additional amounts with respect to, any debt security of such series, or (2) in respect of a covenant or provision which cannot be modified or amended without the consent of each holder affected thereby.</w:t>
      </w:r>
    </w:p>
    <w:p>
      <w:pPr>
        <w:spacing w:after="0" w:line="156" w:lineRule="exact"/>
        <w:rPr>
          <w:sz w:val="20"/>
          <w:szCs w:val="20"/>
          <w:color w:val="auto"/>
        </w:rPr>
      </w:pPr>
    </w:p>
    <w:p>
      <w:pPr>
        <w:ind w:right="160" w:firstLine="549"/>
        <w:spacing w:after="0" w:line="290" w:lineRule="auto"/>
        <w:rPr>
          <w:sz w:val="20"/>
          <w:szCs w:val="20"/>
          <w:color w:val="auto"/>
        </w:rPr>
      </w:pPr>
      <w:r>
        <w:rPr>
          <w:rFonts w:ascii="Times New Roman" w:cs="Times New Roman" w:eastAsia="Times New Roman" w:hAnsi="Times New Roman"/>
          <w:sz w:val="15"/>
          <w:szCs w:val="15"/>
          <w:color w:val="auto"/>
        </w:rPr>
        <w:t>The indenture provides that the Company must periodically furnish the trustee with a written statement as to the Company’s compliance with the covenants contained in the indenture and as to the absence of default under the indenture terms.</w:t>
      </w:r>
    </w:p>
    <w:p>
      <w:pPr>
        <w:spacing w:after="0" w:line="133" w:lineRule="exact"/>
        <w:rPr>
          <w:sz w:val="20"/>
          <w:szCs w:val="20"/>
          <w:color w:val="auto"/>
        </w:rPr>
      </w:pPr>
    </w:p>
    <w:p>
      <w:pPr>
        <w:ind w:right="100" w:firstLine="549"/>
        <w:spacing w:after="0" w:line="272" w:lineRule="auto"/>
        <w:rPr>
          <w:sz w:val="20"/>
          <w:szCs w:val="20"/>
          <w:color w:val="auto"/>
        </w:rPr>
      </w:pPr>
      <w:r>
        <w:rPr>
          <w:rFonts w:ascii="Times New Roman" w:cs="Times New Roman" w:eastAsia="Times New Roman" w:hAnsi="Times New Roman"/>
          <w:sz w:val="15"/>
          <w:szCs w:val="15"/>
          <w:color w:val="auto"/>
        </w:rPr>
        <w:t>The indenture provides that the trustee may withhold notice to the holders of any default with respect to any series of debt securities (except in payment of principal of or interest or premium on, or sinking fund payment in respect of, the debt securities) if and so long as the board of directors, the executive committee or a trust committee of directors of the trustee and/or responsible officers of the trustee in good faith determine that the withholding of such notice is in the best interest of the holders of securities of such series.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indenture contains a provision entitling the trustee to be indemnified by the holders before proceeding to exercise any trust or power under the indenture at the request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such holders. The indenture provides that the holders of a majority in aggregate principal amount of the then outstanding debt securities of any series may direct the time, method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place of conducting any proceedings for any remedy available to the trustee or of exercising any trust or power conferred upon the trustee with respect to the debt securities of such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series; provided, however, that the trustee may decline to follow any such direction if, among other reasons, the trustee determines in good faith that the actions or proceedings as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directed may not lawfully be taken or would be unduly prejudicial to the holders of the debt securities of such series not joining in such direction. The right of a holder to institute 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proceeding with respect to a series of debt securities will be subject to certain conditions precedent including, without limitation, that in case of an event of default specified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clause (a), (b) or (e) of the first paragraph above under “- Events of Default,” holders of at least 25%, or in case of an event of default other than specified in clause (a), (b) or (e)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first paragraph above under “- Events of Default”, holders of at least a majority, in aggregate principal amount of the debt securities of such series then outstanding make a written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request upon the trustee to exercise its powers under such indenture, indemnify the trustee and afford the trustee reasonable opportunity to act. Notwithstanding the foregoing,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holder has an absolute right to receipt of the principal of, premium, if any, and interest when due on the debt securities, to require conversion of debt securities if such indenture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provides for convertibility at the option of the holder and to institute suit for the enforcement thereof.</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b w:val="1"/>
          <w:bCs w:val="1"/>
          <w:color w:val="auto"/>
        </w:rPr>
        <w:t>Consolidation, Merger and Sale of Assets</w:t>
      </w:r>
    </w:p>
    <w:p>
      <w:pPr>
        <w:spacing w:after="0" w:line="198" w:lineRule="exact"/>
        <w:rPr>
          <w:sz w:val="20"/>
          <w:szCs w:val="20"/>
          <w:color w:val="auto"/>
        </w:rPr>
      </w:pPr>
    </w:p>
    <w:p>
      <w:pPr>
        <w:ind w:right="160" w:firstLine="549"/>
        <w:spacing w:after="0" w:line="263" w:lineRule="auto"/>
        <w:rPr>
          <w:sz w:val="20"/>
          <w:szCs w:val="20"/>
          <w:color w:val="auto"/>
        </w:rPr>
      </w:pPr>
      <w:r>
        <w:rPr>
          <w:rFonts w:ascii="Times New Roman" w:cs="Times New Roman" w:eastAsia="Times New Roman" w:hAnsi="Times New Roman"/>
          <w:sz w:val="15"/>
          <w:szCs w:val="15"/>
          <w:color w:val="auto"/>
        </w:rPr>
        <w:t>The indenture provides that the Company may not directly or indirectly consolidate with or merge with or into, or sell, assign, transfer, lease, convey or otherwise dispose of all or substantially all of its assets and properties and the assets and properties of its subsidiaries (taken as a whole) to another person in one or more related transactions unless the successor person is a person organized under the laws of any domestic jurisdiction and assumes the Company’s obligations on the debt securities issued thereunder, and under the indenture, and after giving effect thereto no event of default, and no event that, after notice or lapse of time or both, would become an event of default, shall have occurred and be continuing, and that certain other conditions are met.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Certain Covenants</w:t>
      </w:r>
    </w:p>
    <w:p>
      <w:pPr>
        <w:spacing w:after="0" w:line="194" w:lineRule="exact"/>
        <w:rPr>
          <w:sz w:val="20"/>
          <w:szCs w:val="20"/>
          <w:color w:val="auto"/>
        </w:rPr>
      </w:pPr>
    </w:p>
    <w:p>
      <w:pPr>
        <w:ind w:right="600" w:firstLine="549"/>
        <w:spacing w:after="0" w:line="295" w:lineRule="auto"/>
        <w:rPr>
          <w:sz w:val="20"/>
          <w:szCs w:val="20"/>
          <w:color w:val="auto"/>
        </w:rPr>
      </w:pPr>
      <w:r>
        <w:rPr>
          <w:rFonts w:ascii="Times New Roman" w:cs="Times New Roman" w:eastAsia="Times New Roman" w:hAnsi="Times New Roman"/>
          <w:sz w:val="15"/>
          <w:szCs w:val="15"/>
          <w:i w:val="1"/>
          <w:iCs w:val="1"/>
          <w:color w:val="auto"/>
        </w:rPr>
        <w:t>Payment of Principal, any Premium, Interest or Additional Amounts</w:t>
      </w:r>
      <w:r>
        <w:rPr>
          <w:rFonts w:ascii="Times New Roman" w:cs="Times New Roman" w:eastAsia="Times New Roman" w:hAnsi="Times New Roman"/>
          <w:sz w:val="15"/>
          <w:szCs w:val="15"/>
          <w:color w:val="auto"/>
        </w:rPr>
        <w:t>. The Company will duly and punctually pay the principal of, and premium and interest on or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additional amounts payable with respect to, any debt securities of any series in accordance with their terms.</w:t>
      </w:r>
    </w:p>
    <w:p>
      <w:pPr>
        <w:spacing w:after="0" w:line="125" w:lineRule="exact"/>
        <w:rPr>
          <w:sz w:val="20"/>
          <w:szCs w:val="20"/>
          <w:color w:val="auto"/>
        </w:rPr>
      </w:pPr>
    </w:p>
    <w:p>
      <w:pPr>
        <w:ind w:right="340" w:firstLine="549"/>
        <w:spacing w:after="0" w:line="295" w:lineRule="auto"/>
        <w:rPr>
          <w:sz w:val="20"/>
          <w:szCs w:val="20"/>
          <w:color w:val="auto"/>
        </w:rPr>
      </w:pPr>
      <w:r>
        <w:rPr>
          <w:rFonts w:ascii="Times New Roman" w:cs="Times New Roman" w:eastAsia="Times New Roman" w:hAnsi="Times New Roman"/>
          <w:sz w:val="15"/>
          <w:szCs w:val="15"/>
          <w:i w:val="1"/>
          <w:iCs w:val="1"/>
          <w:color w:val="auto"/>
        </w:rPr>
        <w:t>Maintenance of Office or Agency</w:t>
      </w:r>
      <w:r>
        <w:rPr>
          <w:rFonts w:ascii="Times New Roman" w:cs="Times New Roman" w:eastAsia="Times New Roman" w:hAnsi="Times New Roman"/>
          <w:sz w:val="15"/>
          <w:szCs w:val="15"/>
          <w:color w:val="auto"/>
        </w:rPr>
        <w:t>. The Company will be required to maintain an office or agency in each place of payment for each series of debt securities for notice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demand purposes and for the purposes of presenting or surrendering debt securities for payment, registration of transfer, or exchange.</w:t>
      </w:r>
    </w:p>
    <w:p>
      <w:pPr>
        <w:spacing w:after="0" w:line="125"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15"/>
          <w:szCs w:val="15"/>
          <w:i w:val="1"/>
          <w:iCs w:val="1"/>
          <w:color w:val="auto"/>
        </w:rPr>
        <w:t>Reports</w:t>
      </w:r>
      <w:r>
        <w:rPr>
          <w:rFonts w:ascii="Times New Roman" w:cs="Times New Roman" w:eastAsia="Times New Roman" w:hAnsi="Times New Roman"/>
          <w:sz w:val="15"/>
          <w:szCs w:val="15"/>
          <w:color w:val="auto"/>
        </w:rPr>
        <w:t>. So long as any debt securities of a particular series are outstanding under the indenture, the Company will file with the trustee, within 30 days after the Company has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filed the same with the SEC, unless such reports are available on the SEC’s EDGAR filing system (or any successor thereto), copies of the annual reports and of the information, documents and other reports (or copies of such portions of any of the foregoing as the SEC may from time to time by rules and regulations prescribe) which the Company may be required to file with the SEC pursuant to Section 13 or Section 15(d) of the Exchange Act; or, if the Company is not required to file information, documents or reports pursuant to either of said Sections, then it shall file with the trustee and the SEC, in accordance with rules and regulations prescribed from time to time by the SEC,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152" w:lineRule="exact"/>
        <w:rPr>
          <w:sz w:val="20"/>
          <w:szCs w:val="20"/>
          <w:color w:val="auto"/>
        </w:rPr>
      </w:pPr>
    </w:p>
    <w:p>
      <w:pPr>
        <w:ind w:right="540" w:firstLine="549"/>
        <w:spacing w:after="0" w:line="295" w:lineRule="auto"/>
        <w:rPr>
          <w:sz w:val="20"/>
          <w:szCs w:val="20"/>
          <w:color w:val="auto"/>
        </w:rPr>
      </w:pPr>
      <w:r>
        <w:rPr>
          <w:rFonts w:ascii="Times New Roman" w:cs="Times New Roman" w:eastAsia="Times New Roman" w:hAnsi="Times New Roman"/>
          <w:sz w:val="15"/>
          <w:szCs w:val="15"/>
          <w:i w:val="1"/>
          <w:iCs w:val="1"/>
          <w:color w:val="auto"/>
        </w:rPr>
        <w:t>Additional Covenants</w:t>
      </w:r>
      <w:r>
        <w:rPr>
          <w:rFonts w:ascii="Times New Roman" w:cs="Times New Roman" w:eastAsia="Times New Roman" w:hAnsi="Times New Roman"/>
          <w:sz w:val="15"/>
          <w:szCs w:val="15"/>
          <w:color w:val="auto"/>
        </w:rPr>
        <w:t>. Any additional covenants of the Company with respect to any series of debt securities will be set forth in the applicable prospectus supplement,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documents incorporated by reference or free writing prospectus relating thereto.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Conversion Rights</w:t>
      </w:r>
    </w:p>
    <w:p>
      <w:pPr>
        <w:spacing w:after="0" w:line="198" w:lineRule="exact"/>
        <w:rPr>
          <w:sz w:val="20"/>
          <w:szCs w:val="20"/>
          <w:color w:val="auto"/>
        </w:rPr>
      </w:pPr>
    </w:p>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The terms and conditions, if any, upon which the debt securities are convertible into common stock or preferred stock will be set forth in the applicable prospectus supplement, documents incorporated by reference or free writing prospectus relating thereto. Such terms will include the conversion price (or manner of calculation thereof), the conversion period, provisions as to whether conversion will be at the option of the holders or the Company, the events requiring an adjustment of the conversion price and provisions affecting conversion in the event of redemption of such debt securities and any restrictions on conversion.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Redemption; Repurchase at the Option of the Holder; Sinking Fund</w:t>
      </w:r>
    </w:p>
    <w:p>
      <w:pPr>
        <w:spacing w:after="0" w:line="198" w:lineRule="exact"/>
        <w:rPr>
          <w:sz w:val="20"/>
          <w:szCs w:val="20"/>
          <w:color w:val="auto"/>
        </w:rPr>
      </w:pPr>
    </w:p>
    <w:p>
      <w:pPr>
        <w:jc w:val="both"/>
        <w:ind w:right="100" w:firstLine="549"/>
        <w:spacing w:after="0" w:line="272" w:lineRule="auto"/>
        <w:rPr>
          <w:sz w:val="20"/>
          <w:szCs w:val="20"/>
          <w:color w:val="auto"/>
        </w:rPr>
      </w:pPr>
      <w:r>
        <w:rPr>
          <w:rFonts w:ascii="Times New Roman" w:cs="Times New Roman" w:eastAsia="Times New Roman" w:hAnsi="Times New Roman"/>
          <w:sz w:val="15"/>
          <w:szCs w:val="15"/>
          <w:color w:val="auto"/>
        </w:rPr>
        <w:t>The terms and conditions, if any, upon which (a) the debt securities are redeemable at the option of the Company, (b) the holder of debt securities may cause the Company to repurchase such debt securities or (c) the debt securities are subject to any sinking fund will be set forth in the applicable prospectus supplement, documents incorporated by reference or free writing prospectus relating thereto.</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color w:val="auto"/>
        </w:rPr>
        <w:t>Repurchases on the Open Market</w:t>
      </w:r>
    </w:p>
    <w:p>
      <w:pPr>
        <w:spacing w:after="0" w:line="198" w:lineRule="exact"/>
        <w:rPr>
          <w:sz w:val="20"/>
          <w:szCs w:val="20"/>
          <w:color w:val="auto"/>
        </w:rPr>
      </w:pPr>
    </w:p>
    <w:p>
      <w:pPr>
        <w:ind w:right="80" w:firstLine="549"/>
        <w:spacing w:after="0" w:line="290" w:lineRule="auto"/>
        <w:rPr>
          <w:sz w:val="20"/>
          <w:szCs w:val="20"/>
          <w:color w:val="auto"/>
        </w:rPr>
      </w:pPr>
      <w:r>
        <w:rPr>
          <w:rFonts w:ascii="Times New Roman" w:cs="Times New Roman" w:eastAsia="Times New Roman" w:hAnsi="Times New Roman"/>
          <w:sz w:val="15"/>
          <w:szCs w:val="15"/>
          <w:color w:val="auto"/>
        </w:rPr>
        <w:t>The Company or any affiliate of the Company may at any time or from time to time repurchase any debt security in the open market or otherwise. Such debt securities may, at the option of the Company or the relevant affiliate of the Company, be held, resold or surrendered to the trustee for cancellation.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Discharge, Defeasance and Covenant Defeasance</w:t>
      </w:r>
    </w:p>
    <w:p>
      <w:pPr>
        <w:spacing w:after="0" w:line="198" w:lineRule="exact"/>
        <w:rPr>
          <w:sz w:val="20"/>
          <w:szCs w:val="20"/>
          <w:color w:val="auto"/>
        </w:rPr>
      </w:pPr>
    </w:p>
    <w:p>
      <w:pPr>
        <w:ind w:right="140" w:firstLine="549"/>
        <w:spacing w:after="0" w:line="290" w:lineRule="auto"/>
        <w:rPr>
          <w:sz w:val="20"/>
          <w:szCs w:val="20"/>
          <w:color w:val="auto"/>
        </w:rPr>
      </w:pPr>
      <w:r>
        <w:rPr>
          <w:rFonts w:ascii="Times New Roman" w:cs="Times New Roman" w:eastAsia="Times New Roman" w:hAnsi="Times New Roman"/>
          <w:sz w:val="15"/>
          <w:szCs w:val="15"/>
          <w:color w:val="auto"/>
        </w:rPr>
        <w:t>The indenture provides, with respect to each series of debt securities issued thereunder, that the Company may satisfy and discharge its obligations under such debt securities of a series and such indenture with respect to debt securities of such series if:</w:t>
      </w:r>
    </w:p>
    <w:p>
      <w:pPr>
        <w:spacing w:after="0" w:line="133" w:lineRule="exact"/>
        <w:rPr>
          <w:sz w:val="20"/>
          <w:szCs w:val="20"/>
          <w:color w:val="auto"/>
        </w:rPr>
      </w:pPr>
    </w:p>
    <w:p>
      <w:pPr>
        <w:ind w:left="820" w:hanging="279"/>
        <w:spacing w:after="0"/>
        <w:tabs>
          <w:tab w:leader="none" w:pos="82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debt securities of such series previously authenticated and delivered, with certain exceptions, have been delivered to the trustee for cancellation; or</w:t>
      </w:r>
    </w:p>
    <w:p>
      <w:pPr>
        <w:spacing w:after="0" w:line="193" w:lineRule="exact"/>
        <w:rPr>
          <w:rFonts w:ascii="Times New Roman" w:cs="Times New Roman" w:eastAsia="Times New Roman" w:hAnsi="Times New Roman"/>
          <w:sz w:val="15"/>
          <w:szCs w:val="15"/>
          <w:color w:val="auto"/>
        </w:rPr>
      </w:pPr>
    </w:p>
    <w:p>
      <w:pPr>
        <w:spacing w:after="0"/>
        <w:tabs>
          <w:tab w:leader="none" w:pos="0" w:val="left"/>
        </w:tabs>
        <w:numPr>
          <w:ilvl w:val="0"/>
          <w:numId w:val="16"/>
        </w:numPr>
        <w:rPr>
          <w:rFonts w:ascii="Times New Roman" w:cs="Times New Roman" w:eastAsia="Times New Roman" w:hAnsi="Times New Roman"/>
          <w:sz w:val="15"/>
          <w:szCs w:val="15"/>
          <w:color w:val="auto"/>
        </w:rPr>
      </w:pPr>
    </w:p>
    <w:p>
      <w:pPr>
        <w:spacing w:after="0" w:line="193" w:lineRule="exact"/>
        <w:rPr>
          <w:rFonts w:ascii="Times New Roman" w:cs="Times New Roman" w:eastAsia="Times New Roman" w:hAnsi="Times New Roman"/>
          <w:sz w:val="15"/>
          <w:szCs w:val="15"/>
          <w:color w:val="auto"/>
        </w:rPr>
      </w:pPr>
    </w:p>
    <w:p>
      <w:pPr>
        <w:ind w:left="1360" w:hanging="269"/>
        <w:spacing w:after="0" w:line="261" w:lineRule="auto"/>
        <w:tabs>
          <w:tab w:leader="none" w:pos="136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debt securities of such series have become due and payable, or mature within one year, or all of them are to be called for redemption within one year under arrangements satisfactory to the trustee for giving the notice of redemption and the Company irrevocably deposits in trust with the trustee, as trust funds solely for the benefit of the holders of such debt securities, for that purpose, money or governmental obligations or a combination thereof sufficient (in the opinion of a nationally recognized independent registered public accounting firm expressed in a written certification thereof delivered to the trustee) to pay and discharge the entire indebtedness on the debt securities of such series to maturity or redemption, as the case may be, and pays all other sums payable by it under such indenture; and</w:t>
      </w:r>
    </w:p>
    <w:p>
      <w:pPr>
        <w:spacing w:after="0" w:line="156" w:lineRule="exact"/>
        <w:rPr>
          <w:rFonts w:ascii="Times New Roman" w:cs="Times New Roman" w:eastAsia="Times New Roman" w:hAnsi="Times New Roman"/>
          <w:sz w:val="15"/>
          <w:szCs w:val="15"/>
          <w:color w:val="auto"/>
        </w:rPr>
      </w:pPr>
    </w:p>
    <w:p>
      <w:pPr>
        <w:ind w:left="1360" w:right="440" w:hanging="269"/>
        <w:spacing w:after="0" w:line="290" w:lineRule="auto"/>
        <w:tabs>
          <w:tab w:leader="none" w:pos="1360"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delivers to the trustee an officers’ certificate and an opinion of counsel, in each case stating that all conditions precedent provided for in such indenture relating to the satisfaction and discharge of such indenture with respect to the debt securities of such series have been complied with.</w:t>
      </w:r>
    </w:p>
    <w:p>
      <w:pPr>
        <w:spacing w:after="0" w:line="133" w:lineRule="exact"/>
        <w:rPr>
          <w:sz w:val="20"/>
          <w:szCs w:val="20"/>
          <w:color w:val="auto"/>
        </w:rPr>
      </w:pPr>
    </w:p>
    <w:p>
      <w:pPr>
        <w:ind w:right="60" w:firstLine="549"/>
        <w:spacing w:after="0" w:line="263" w:lineRule="auto"/>
        <w:rPr>
          <w:sz w:val="20"/>
          <w:szCs w:val="20"/>
          <w:color w:val="auto"/>
        </w:rPr>
      </w:pPr>
      <w:r>
        <w:rPr>
          <w:rFonts w:ascii="Times New Roman" w:cs="Times New Roman" w:eastAsia="Times New Roman" w:hAnsi="Times New Roman"/>
          <w:sz w:val="15"/>
          <w:szCs w:val="15"/>
          <w:color w:val="auto"/>
        </w:rPr>
        <w:t>Notwithstanding such satisfaction and discharge, the obligations of the Company to compensate and indemnify the trustee, to pay additional amounts, if any, in respect of debt securities in certain circumstances and to convert or exchange debt securities pursuant to the terms thereof and the obligations of the Company and the trustee to hold funds in trust and to apply such funds pursuant to the terms of the indenture, with respect to issuing temporary debt securities, with respect to the registration, transfer and exchange of debt securities, with respect to the replacement of mutilated, destroyed, lost or stolen debt securities and with respect to the maintenance of an office or agency for payment, shall in each case survive such satisfaction and discharge.</w:t>
      </w:r>
    </w:p>
    <w:p>
      <w:pPr>
        <w:spacing w:after="0" w:line="154" w:lineRule="exact"/>
        <w:rPr>
          <w:sz w:val="20"/>
          <w:szCs w:val="20"/>
          <w:color w:val="auto"/>
        </w:rPr>
      </w:pPr>
    </w:p>
    <w:p>
      <w:pPr>
        <w:ind w:right="20" w:firstLine="549"/>
        <w:spacing w:after="0" w:line="260" w:lineRule="auto"/>
        <w:rPr>
          <w:sz w:val="20"/>
          <w:szCs w:val="20"/>
          <w:color w:val="auto"/>
        </w:rPr>
      </w:pPr>
      <w:r>
        <w:rPr>
          <w:rFonts w:ascii="Times New Roman" w:cs="Times New Roman" w:eastAsia="Times New Roman" w:hAnsi="Times New Roman"/>
          <w:sz w:val="15"/>
          <w:szCs w:val="15"/>
          <w:color w:val="auto"/>
        </w:rPr>
        <w:t>Unless inapplicable to debt securities of a series pursuant to the terms thereof, the indenture provides that (i) the Company will be deemed to have paid and will be discharged from any and all obligations in respect of the debt securities issued thereunder of any series, and the provisions of such indenture will, except as noted below, no longer be in effect with respect to the debt securities of such series (“defeasance”) and (ii) (1) the Company may omit to comply with the covenant under “- Consolidation, Merger and Sale of Assets” and any other additional covenants established pursuant to the terms of such series, and such omission shall be deemed not to be an event of default under clause (d) or (f) of the first paragraph of “— Events of Default” and (2) the occurrence of any event described in clause (f) of the first paragraph of “— Events of Default” shall not be deemed to be an event of default, in each case with respect to the outstanding debt securities of such series ((1) and (2) of this clause (ii), “covenant defeasance”); provided that the following conditions shall have been satisfied with respect to such series:</w:t>
      </w:r>
    </w:p>
    <w:p>
      <w:pPr>
        <w:spacing w:after="0" w:line="157" w:lineRule="exact"/>
        <w:rPr>
          <w:sz w:val="20"/>
          <w:szCs w:val="20"/>
          <w:color w:val="auto"/>
        </w:rPr>
      </w:pPr>
    </w:p>
    <w:p>
      <w:pPr>
        <w:ind w:left="820" w:right="60" w:hanging="279"/>
        <w:spacing w:after="0" w:line="266" w:lineRule="auto"/>
        <w:tabs>
          <w:tab w:leader="none" w:pos="82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irrevocably deposited in trust with the trustee as trust funds solely for the benefit of the holders of the debt securities of such series, for payment of the principal of and interest of the debt securities of such series, money or government obligations or a combination thereof sufficient (in the opinion of a nationally recognized independent registered public accounting firm expressed in a written certification thereof delivered to the trustee) without consideration of any reinvestment to pay and discharge the principal of and accrued interest on the outstanding debt securities of such series to maturity or earlier redemption, as the case may be;</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4" w:name="page25"/>
    <w:bookmarkEnd w:id="24"/>
    <w:p>
      <w:pPr>
        <w:ind w:left="820" w:right="580" w:hanging="279"/>
        <w:spacing w:after="0" w:line="290" w:lineRule="auto"/>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defeasance or covenant defeasance will not result in a breach or violation of, or constitute a default under, such indenture or any other material agreement or instrument to which the Company is a party or by which it is bound;</w:t>
      </w:r>
    </w:p>
    <w:p>
      <w:pPr>
        <w:spacing w:after="0" w:line="132" w:lineRule="exact"/>
        <w:rPr>
          <w:rFonts w:ascii="Times New Roman" w:cs="Times New Roman" w:eastAsia="Times New Roman" w:hAnsi="Times New Roman"/>
          <w:sz w:val="15"/>
          <w:szCs w:val="15"/>
          <w:color w:val="auto"/>
        </w:rPr>
      </w:pPr>
    </w:p>
    <w:p>
      <w:pPr>
        <w:ind w:left="820" w:hanging="279"/>
        <w:spacing w:after="0" w:line="290" w:lineRule="auto"/>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event of default or event which with notice or lapse of time would become an event of default with respect to such debt securities of such series shall have occurred and be continuing on the date of such deposit;</w:t>
      </w:r>
    </w:p>
    <w:p>
      <w:pPr>
        <w:spacing w:after="0" w:line="132" w:lineRule="exact"/>
        <w:rPr>
          <w:rFonts w:ascii="Times New Roman" w:cs="Times New Roman" w:eastAsia="Times New Roman" w:hAnsi="Times New Roman"/>
          <w:sz w:val="15"/>
          <w:szCs w:val="15"/>
          <w:color w:val="auto"/>
        </w:rPr>
      </w:pPr>
    </w:p>
    <w:p>
      <w:pPr>
        <w:ind w:left="820" w:right="120" w:hanging="279"/>
        <w:spacing w:after="0" w:line="266" w:lineRule="auto"/>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such trustee an opinion of counsel as described in the indenture to the effect that the holders of the debt securities of such series will not recognize income, gain or loss for federal income tax purposes as a result of the Company’s exercise of its option under this provision of such indenture and will be subject to federal income tax on the same amount and in the same manner and at the same times as would have been the case if such deposit and defeasance or covenant defeasance had not occurred;</w:t>
      </w:r>
    </w:p>
    <w:p>
      <w:pPr>
        <w:spacing w:after="0" w:line="151" w:lineRule="exact"/>
        <w:rPr>
          <w:rFonts w:ascii="Times New Roman" w:cs="Times New Roman" w:eastAsia="Times New Roman" w:hAnsi="Times New Roman"/>
          <w:sz w:val="15"/>
          <w:szCs w:val="15"/>
          <w:color w:val="auto"/>
        </w:rPr>
      </w:pPr>
    </w:p>
    <w:p>
      <w:pPr>
        <w:ind w:left="820" w:right="40" w:hanging="279"/>
        <w:spacing w:after="0" w:line="290" w:lineRule="auto"/>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delivered to the trustee an officers’ certificate and an opinion of counsel, in each case stating that all conditions precedent provided for in such indenture relating to the defeasance contemplated have been complied with;</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debt securities are to be redeemed prior to their maturity, notice of such redemption shall have been duly given or in another manner satisfactory to the trustee; and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such defeasance or covenant defeasance shall comply with any additional or substitute terms provided for by the terms of such debt securities of such series.</w:t>
      </w:r>
    </w:p>
    <w:p>
      <w:pPr>
        <w:spacing w:after="0" w:line="194" w:lineRule="exact"/>
        <w:rPr>
          <w:sz w:val="20"/>
          <w:szCs w:val="20"/>
          <w:color w:val="auto"/>
        </w:rPr>
      </w:pPr>
    </w:p>
    <w:p>
      <w:pPr>
        <w:ind w:right="280" w:firstLine="549"/>
        <w:spacing w:after="0" w:line="290" w:lineRule="auto"/>
        <w:rPr>
          <w:sz w:val="20"/>
          <w:szCs w:val="20"/>
          <w:color w:val="auto"/>
        </w:rPr>
      </w:pPr>
      <w:r>
        <w:rPr>
          <w:rFonts w:ascii="Times New Roman" w:cs="Times New Roman" w:eastAsia="Times New Roman" w:hAnsi="Times New Roman"/>
          <w:sz w:val="15"/>
          <w:szCs w:val="15"/>
          <w:color w:val="auto"/>
        </w:rPr>
        <w:t>Notwithstanding a defeasance or covenant defeasance, the Company’s obligations with respect to the following in respect of debt securities of such series will survive with respect to such securities until otherwise terminated or discharged under the terms of the indenture or no debt securities of such series are outstanding:</w:t>
      </w:r>
    </w:p>
    <w:p>
      <w:pPr>
        <w:spacing w:after="0" w:line="133" w:lineRule="exact"/>
        <w:rPr>
          <w:sz w:val="20"/>
          <w:szCs w:val="20"/>
          <w:color w:val="auto"/>
        </w:rPr>
      </w:pPr>
    </w:p>
    <w:p>
      <w:pPr>
        <w:ind w:left="820" w:right="200" w:hanging="279"/>
        <w:spacing w:after="0" w:line="272" w:lineRule="auto"/>
        <w:tabs>
          <w:tab w:leader="none" w:pos="8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of holders of outstanding debt securities of such series to receive payments in respect of the principal of, interest on or premium or additional amounts, if any, payable in respect of, such debt securities when such payments are due from the trust referred in clause (a) in the preceding paragraph, and any rights of such holder to convert or exchange such debt securities into common stock or other securities, cash or other property;</w:t>
      </w:r>
    </w:p>
    <w:p>
      <w:pPr>
        <w:spacing w:after="0" w:line="146" w:lineRule="exact"/>
        <w:rPr>
          <w:rFonts w:ascii="Times New Roman" w:cs="Times New Roman" w:eastAsia="Times New Roman" w:hAnsi="Times New Roman"/>
          <w:sz w:val="15"/>
          <w:szCs w:val="15"/>
          <w:color w:val="auto"/>
        </w:rPr>
      </w:pPr>
    </w:p>
    <w:p>
      <w:pPr>
        <w:ind w:left="820" w:right="80" w:hanging="279"/>
        <w:spacing w:after="0" w:line="272" w:lineRule="auto"/>
        <w:tabs>
          <w:tab w:leader="none" w:pos="8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issuance of temporary debt securities, the registration, transfer and exchange of debt securities, the replacement of mutilated, destroyed, lost or stolen debt securities and the maintenance of an office or agency for payment and holding payments in trust, and the Company’s obligations with respect to the payment of additional amounts, if any, on such securities, and with respect to any rights to convert or exchange such securities into common stock or other securities, cash or other property;</w:t>
      </w:r>
    </w:p>
    <w:p>
      <w:pPr>
        <w:spacing w:after="0" w:line="146"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powers, trusts, duties and immunities of the trustee, and the Company’s obligations in connection therewith; and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defeasance or covenant defeasance provisions of the indenture.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Information Concerning the Trustee</w:t>
      </w:r>
    </w:p>
    <w:p>
      <w:pPr>
        <w:spacing w:after="0" w:line="198" w:lineRule="exact"/>
        <w:rPr>
          <w:sz w:val="20"/>
          <w:szCs w:val="20"/>
          <w:color w:val="auto"/>
        </w:rPr>
      </w:pPr>
    </w:p>
    <w:p>
      <w:pPr>
        <w:ind w:right="60" w:firstLine="549"/>
        <w:spacing w:after="0" w:line="266" w:lineRule="auto"/>
        <w:rPr>
          <w:sz w:val="20"/>
          <w:szCs w:val="20"/>
          <w:color w:val="auto"/>
        </w:rPr>
      </w:pPr>
      <w:r>
        <w:rPr>
          <w:rFonts w:ascii="Times New Roman" w:cs="Times New Roman" w:eastAsia="Times New Roman" w:hAnsi="Times New Roman"/>
          <w:sz w:val="15"/>
          <w:szCs w:val="15"/>
          <w:color w:val="auto"/>
        </w:rPr>
        <w:t>The trustee, other than during the occurrence and continuance of an event of default under the indenture, undertakes to perform only those duties as are specifically set forth in the indenture. Upon an event of default under the indenture, the trustee must use the same degree of care as a prudent person would exercise or use under the circumstances in the conduct of his or her own affairs. Subject to this provision and certain other limitations, the trustee is under no obligation to exercise any of the powers given it by the indenture at the request of any holder of debt securities unless it is offered indemnity satisfactory to it against the costs, expenses and liabilities that it might incur.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Applicable Law</w:t>
      </w:r>
    </w:p>
    <w:p>
      <w:pPr>
        <w:spacing w:after="0" w:line="198" w:lineRule="exact"/>
        <w:rPr>
          <w:sz w:val="20"/>
          <w:szCs w:val="20"/>
          <w:color w:val="auto"/>
        </w:rPr>
      </w:pPr>
    </w:p>
    <w:p>
      <w:pPr>
        <w:ind w:right="100" w:firstLine="549"/>
        <w:spacing w:after="0" w:line="290" w:lineRule="auto"/>
        <w:rPr>
          <w:sz w:val="20"/>
          <w:szCs w:val="20"/>
          <w:color w:val="auto"/>
        </w:rPr>
      </w:pPr>
      <w:r>
        <w:rPr>
          <w:rFonts w:ascii="Times New Roman" w:cs="Times New Roman" w:eastAsia="Times New Roman" w:hAnsi="Times New Roman"/>
          <w:sz w:val="15"/>
          <w:szCs w:val="15"/>
          <w:color w:val="auto"/>
        </w:rPr>
        <w:t>The indenture provides that the debt securities and the indenture will be governed by and construed in accordance with the laws of the State of New York, except to the extent that the Trust Indenture Act is applicable.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DESCRIPTION OF WARRANTS</w:t>
      </w:r>
    </w:p>
    <w:p>
      <w:pPr>
        <w:spacing w:after="0" w:line="198"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may include in any applicable prospectus supplements, summarizes the material terms and provisions of the warrants that we may offer under this base prospectus and the related warrant agreements and warrant certificates. While the terms summarized below will apply generally to any warrants that we may offer, we will describe the particular terms of any series of warrants in more detail in the applicable prospectus supplement. The terms of any warrants offered under that prospectus supplement may differ from the terms described below.</w:t>
      </w:r>
    </w:p>
    <w:p>
      <w:pPr>
        <w:spacing w:after="0" w:line="151" w:lineRule="exact"/>
        <w:rPr>
          <w:sz w:val="20"/>
          <w:szCs w:val="20"/>
          <w:color w:val="auto"/>
        </w:rPr>
      </w:pPr>
    </w:p>
    <w:p>
      <w:pPr>
        <w:ind w:right="20" w:firstLine="549"/>
        <w:spacing w:after="0" w:line="272" w:lineRule="auto"/>
        <w:rPr>
          <w:sz w:val="20"/>
          <w:szCs w:val="20"/>
          <w:color w:val="auto"/>
        </w:rPr>
      </w:pPr>
      <w:r>
        <w:rPr>
          <w:rFonts w:ascii="Times New Roman" w:cs="Times New Roman" w:eastAsia="Times New Roman" w:hAnsi="Times New Roman"/>
          <w:sz w:val="15"/>
          <w:szCs w:val="15"/>
          <w:color w:val="auto"/>
        </w:rPr>
        <w:t>The following summary description, together with the additional information we may include in any applicable prospectus supplements does not purport to be complete and is subject to, and qualified in its entirety by reference to, the form of warrant agreement and form of warrant certificate relating to each series of warrants that will be incorporated by reference as an exhibit to the registration statement that includes this base prospectus or as an exhibit to a current report on Form 8-K if we offer warrants.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warrants, including:</w:t>
      </w:r>
    </w:p>
    <w:p>
      <w:pPr>
        <w:spacing w:after="0" w:line="194" w:lineRule="exact"/>
        <w:rPr>
          <w:sz w:val="20"/>
          <w:szCs w:val="20"/>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offering price and aggregate number of warrants offered;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currency for which the warrants may be purchased;</w:t>
      </w:r>
    </w:p>
    <w:p>
      <w:pPr>
        <w:spacing w:after="0" w:line="193" w:lineRule="exact"/>
        <w:rPr>
          <w:rFonts w:ascii="Times New Roman" w:cs="Times New Roman" w:eastAsia="Times New Roman" w:hAnsi="Times New Roman"/>
          <w:sz w:val="15"/>
          <w:szCs w:val="15"/>
          <w:color w:val="auto"/>
        </w:rPr>
      </w:pPr>
    </w:p>
    <w:p>
      <w:pPr>
        <w:ind w:left="820" w:right="180" w:hanging="279"/>
        <w:spacing w:after="0" w:line="290" w:lineRule="auto"/>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designation and terms of the securities with which the warrants are issued and the number of warrants issued with each such security or each principal amount of such security;</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date on and after which the warrants and the related securities will be separately transferable;</w:t>
      </w:r>
    </w:p>
    <w:p>
      <w:pPr>
        <w:spacing w:after="0" w:line="193" w:lineRule="exact"/>
        <w:rPr>
          <w:rFonts w:ascii="Times New Roman" w:cs="Times New Roman" w:eastAsia="Times New Roman" w:hAnsi="Times New Roman"/>
          <w:sz w:val="15"/>
          <w:szCs w:val="15"/>
          <w:color w:val="auto"/>
        </w:rPr>
      </w:pPr>
    </w:p>
    <w:p>
      <w:pPr>
        <w:ind w:left="820" w:right="380" w:hanging="279"/>
        <w:spacing w:after="0" w:line="290" w:lineRule="auto"/>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warrants to purchase common stock, the number of shares of common stock purchasable upon the exercise of one warrant and the price at which these shares may be purchased upon such exercise;</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 of any merger, consolidation, sale or other disposition of our business on the warrant agreements and the warrants;</w:t>
      </w:r>
    </w:p>
    <w:p>
      <w:pPr>
        <w:spacing w:after="0" w:line="193" w:lineRule="exact"/>
        <w:rPr>
          <w:rFonts w:ascii="Times New Roman" w:cs="Times New Roman" w:eastAsia="Times New Roman" w:hAnsi="Times New Roman"/>
          <w:sz w:val="15"/>
          <w:szCs w:val="15"/>
          <w:color w:val="auto"/>
        </w:rPr>
      </w:pPr>
    </w:p>
    <w:p>
      <w:pPr>
        <w:ind w:left="820" w:right="180" w:hanging="279"/>
        <w:spacing w:after="0" w:line="290" w:lineRule="auto"/>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any rights to redeem or call the warrants, including whether the right to convert or purchase the securities may be forfeited unless exercised before the date specified in a notice of the redemption or call;</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kinds, frequency and timing of notice of the redemption or call, including the cities or newspapers where notice will be published;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changes to or adjustments in the exercise price or number of securities issuable upon exercise of the warrants;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dates on which the right to exercise the warrants will commence and expire;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manner in which the warrant agreements and warrants may be modified;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federal income tax consequences of holding or exercising the warrants;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of the securities issuable upon exercise of the warrants;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for the warrants to be held in book entry form; and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specific terms, preferences, rights or limitations of or restrictions on the warrants.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5" w:right="359" w:bottom="1440" w:gutter="0" w:footer="0" w:header="0"/>
        </w:sectPr>
      </w:pPr>
    </w:p>
    <w:bookmarkStart w:id="26" w:name="page27"/>
    <w:bookmarkEnd w:id="26"/>
    <w:p>
      <w:pPr>
        <w:ind w:right="100" w:firstLine="549"/>
        <w:spacing w:after="0" w:line="290" w:lineRule="auto"/>
        <w:rPr>
          <w:sz w:val="20"/>
          <w:szCs w:val="20"/>
          <w:color w:val="auto"/>
        </w:rPr>
      </w:pPr>
      <w:r>
        <w:rPr>
          <w:rFonts w:ascii="Times New Roman" w:cs="Times New Roman" w:eastAsia="Times New Roman" w:hAnsi="Times New Roman"/>
          <w:sz w:val="15"/>
          <w:szCs w:val="15"/>
          <w:color w:val="auto"/>
        </w:rPr>
        <w:t>Before exercising their warrants, holders of warrants will not have any of the rights of holders of the securities purchasable upon such exercise, including the right to receive dividends, if any, or payments upon our liquidation, dissolution or winding up or to exercise voting rights, if 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Exercise of Warrants</w:t>
      </w:r>
    </w:p>
    <w:p>
      <w:pPr>
        <w:spacing w:after="0" w:line="198" w:lineRule="exact"/>
        <w:rPr>
          <w:sz w:val="20"/>
          <w:szCs w:val="20"/>
          <w:color w:val="auto"/>
        </w:rPr>
      </w:pPr>
    </w:p>
    <w:p>
      <w:pPr>
        <w:jc w:val="both"/>
        <w:ind w:right="140" w:firstLine="549"/>
        <w:spacing w:after="0" w:line="272" w:lineRule="auto"/>
        <w:rPr>
          <w:sz w:val="20"/>
          <w:szCs w:val="20"/>
          <w:color w:val="auto"/>
        </w:rPr>
      </w:pPr>
      <w:r>
        <w:rPr>
          <w:rFonts w:ascii="Times New Roman" w:cs="Times New Roman" w:eastAsia="Times New Roman" w:hAnsi="Times New Roman"/>
          <w:sz w:val="15"/>
          <w:szCs w:val="15"/>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on the expiration date that we set forth in the applicable prospectus supplement. After the close of business on the expiration date, unexercised warrants will become void.</w:t>
      </w:r>
    </w:p>
    <w:p>
      <w:pPr>
        <w:spacing w:after="0" w:line="146" w:lineRule="exact"/>
        <w:rPr>
          <w:sz w:val="20"/>
          <w:szCs w:val="20"/>
          <w:color w:val="auto"/>
        </w:rPr>
      </w:pPr>
    </w:p>
    <w:p>
      <w:pPr>
        <w:jc w:val="both"/>
        <w:ind w:right="360" w:firstLine="549"/>
        <w:spacing w:after="0" w:line="272" w:lineRule="auto"/>
        <w:rPr>
          <w:sz w:val="20"/>
          <w:szCs w:val="20"/>
          <w:color w:val="auto"/>
        </w:rPr>
      </w:pPr>
      <w:r>
        <w:rPr>
          <w:rFonts w:ascii="Times New Roman" w:cs="Times New Roman" w:eastAsia="Times New Roman" w:hAnsi="Times New Roman"/>
          <w:sz w:val="15"/>
          <w:szCs w:val="15"/>
          <w:color w:val="auto"/>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spacing w:after="0" w:line="146" w:lineRule="exact"/>
        <w:rPr>
          <w:sz w:val="20"/>
          <w:szCs w:val="20"/>
          <w:color w:val="auto"/>
        </w:rPr>
      </w:pPr>
    </w:p>
    <w:p>
      <w:pPr>
        <w:ind w:right="80" w:firstLine="549"/>
        <w:spacing w:after="0" w:line="266" w:lineRule="auto"/>
        <w:rPr>
          <w:sz w:val="20"/>
          <w:szCs w:val="20"/>
          <w:color w:val="auto"/>
        </w:rPr>
      </w:pPr>
      <w:r>
        <w:rPr>
          <w:rFonts w:ascii="Times New Roman" w:cs="Times New Roman" w:eastAsia="Times New Roman" w:hAnsi="Times New Roman"/>
          <w:sz w:val="15"/>
          <w:szCs w:val="15"/>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Enforceability of Rights by Holders of Warrants</w:t>
      </w:r>
    </w:p>
    <w:p>
      <w:pPr>
        <w:spacing w:after="0" w:line="198" w:lineRule="exact"/>
        <w:rPr>
          <w:sz w:val="20"/>
          <w:szCs w:val="20"/>
          <w:color w:val="auto"/>
        </w:rPr>
      </w:pPr>
    </w:p>
    <w:p>
      <w:pPr>
        <w:jc w:val="both"/>
        <w:ind w:firstLine="549"/>
        <w:spacing w:after="0" w:line="263" w:lineRule="auto"/>
        <w:rPr>
          <w:sz w:val="20"/>
          <w:szCs w:val="20"/>
          <w:color w:val="auto"/>
        </w:rPr>
      </w:pPr>
      <w:r>
        <w:rPr>
          <w:rFonts w:ascii="Times New Roman" w:cs="Times New Roman" w:eastAsia="Times New Roman" w:hAnsi="Times New Roman"/>
          <w:sz w:val="15"/>
          <w:szCs w:val="15"/>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Outstanding Warrants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As of March 31, 2026, there were warrants outstanding to purchase up to a total of 5,079,294 shares of our common stock.</w:t>
      </w: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180"/>
          </w:cols>
          <w:pgMar w:left="320" w:top="789" w:right="39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RIGHTS</w:t>
      </w:r>
    </w:p>
    <w:p>
      <w:pPr>
        <w:spacing w:after="0" w:line="198"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include in any applicable prospectus supplements, summarizes the material terms and provisions of the rights that we may offer under this prospectus, which consist of rights to purchase our common stock, preferred stock and/or debt securities in one or more series. Rights may be offered independently or together with our common stock, preferred stock, debt securities and/or warrants offered by any prospectus supplement and may be attached to or separate from those securities. While the terms we have summarized below will generally apply to any future rights we may offer pursuant to this prospectus, we will describe the particular terms of any rights that we may offer in more detail in the applicable prospectus supplements. The terms of any rights we offer under a prospectus supplement may differ from the terms we describe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8" w:lineRule="exact"/>
        <w:rPr>
          <w:sz w:val="20"/>
          <w:szCs w:val="20"/>
          <w:color w:val="auto"/>
        </w:rPr>
      </w:pPr>
    </w:p>
    <w:p>
      <w:pPr>
        <w:ind w:right="320" w:firstLine="549"/>
        <w:spacing w:after="0" w:line="290" w:lineRule="auto"/>
        <w:rPr>
          <w:sz w:val="20"/>
          <w:szCs w:val="20"/>
          <w:color w:val="auto"/>
        </w:rPr>
      </w:pPr>
      <w:r>
        <w:rPr>
          <w:rFonts w:ascii="Times New Roman" w:cs="Times New Roman" w:eastAsia="Times New Roman" w:hAnsi="Times New Roman"/>
          <w:sz w:val="15"/>
          <w:szCs w:val="15"/>
          <w:color w:val="auto"/>
        </w:rPr>
        <w:t>The applicable prospectus supplements relating to any rights that we offer will include specific terms of any offering of rights for which this prospectus is being delivered, including the following, to the extent applicable:</w:t>
      </w:r>
    </w:p>
    <w:p>
      <w:pPr>
        <w:spacing w:after="0" w:line="133" w:lineRule="exact"/>
        <w:rPr>
          <w:sz w:val="20"/>
          <w:szCs w:val="20"/>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for determining the persons entitled to participate in the rights distribution;</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price, if any, per right;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exercise price payable for each share of common stock, share of preferred stock or debt security upon the exercise of the rights;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rights issued or to be issued to each holder;</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terms of the shares of common stock, shares of preferred stock or debt securities that may be purchased per each right;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the rights are transferable;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the rights, including the terms, procedures and limitations relating to the exchange and exercise of the rights;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respective dates on which the holder’s ability to exercise the rights will commence and will expire;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rights outstanding, if any;</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discussion of any material U.S. federal income tax considerations applicable to the rights;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the rights may include an over-subscription privilege with respect to unsubscribed securities; and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material terms of any standby underwriting or purchase arrangement entered into by us in connection with the offering of such rights.</w:t>
      </w:r>
    </w:p>
    <w:p>
      <w:pPr>
        <w:spacing w:after="0" w:line="194" w:lineRule="exact"/>
        <w:rPr>
          <w:sz w:val="20"/>
          <w:szCs w:val="20"/>
          <w:color w:val="auto"/>
        </w:rPr>
      </w:pPr>
    </w:p>
    <w:p>
      <w:pPr>
        <w:ind w:right="200" w:firstLine="549"/>
        <w:spacing w:after="0" w:line="290" w:lineRule="auto"/>
        <w:rPr>
          <w:sz w:val="20"/>
          <w:szCs w:val="20"/>
          <w:color w:val="auto"/>
        </w:rPr>
      </w:pPr>
      <w:r>
        <w:rPr>
          <w:rFonts w:ascii="Times New Roman" w:cs="Times New Roman" w:eastAsia="Times New Roman" w:hAnsi="Times New Roman"/>
          <w:sz w:val="15"/>
          <w:szCs w:val="15"/>
          <w:color w:val="auto"/>
        </w:rPr>
        <w:t>The description in the applicable prospectus supplements of any rights that we may offer will not necessarily be complete and will be qualified in its entirety by reference to the applicable rights agreement and/or rights certificate, which will be filed with the SEC in connection therewith.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Outstanding Rights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have no outstanding rights.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UNITS</w:t>
      </w:r>
    </w:p>
    <w:p>
      <w:pPr>
        <w:spacing w:after="0" w:line="198"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The following description, together with the additional information we may include in any applicable prospectus supplements, summarizes the material terms and provisions of the units that we may offer under this base prospectus. While the terms we have summarized below will apply generally to any units that we may offer under this base prospectus, we will describe the particular terms of any series of units in more detail in the applicable prospectus supplement. The terms of any units offered under a prospectus supplement may differ from the terms described below.</w:t>
      </w:r>
    </w:p>
    <w:p>
      <w:pPr>
        <w:spacing w:after="0" w:line="151"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The following summary description, together with the additional information we may include in any applicable prospectus supplements, does not purport to be complete and is subject to, and qualified in its entirety by reference to, the form of unit agreement and form of unit certificate relating to each series of units that will be incorporated by reference as an exhibit to the registration statement that includes this base prospectus or as an exhibit to a current report on Form 8-K if we offer units.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98" w:lineRule="exact"/>
        <w:rPr>
          <w:sz w:val="20"/>
          <w:szCs w:val="20"/>
          <w:color w:val="auto"/>
        </w:rPr>
      </w:pPr>
    </w:p>
    <w:p>
      <w:pPr>
        <w:jc w:val="both"/>
        <w:ind w:right="260" w:firstLine="549"/>
        <w:spacing w:after="0" w:line="266" w:lineRule="auto"/>
        <w:rPr>
          <w:sz w:val="20"/>
          <w:szCs w:val="20"/>
          <w:color w:val="auto"/>
        </w:rPr>
      </w:pPr>
      <w:r>
        <w:rPr>
          <w:rFonts w:ascii="Times New Roman" w:cs="Times New Roman" w:eastAsia="Times New Roman" w:hAnsi="Times New Roman"/>
          <w:sz w:val="15"/>
          <w:szCs w:val="15"/>
          <w:color w:val="auto"/>
        </w:rPr>
        <w:t>We may issue units comprised of common stock, preferred stock, debt securities, debt obligations of third parties, including U.S. treasury securities, warrants, rights or any combination thereof.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will describe in the applicable prospectus supplement the terms of the series of units, including:</w:t>
      </w:r>
    </w:p>
    <w:p>
      <w:pPr>
        <w:spacing w:after="0" w:line="194" w:lineRule="exact"/>
        <w:rPr>
          <w:sz w:val="20"/>
          <w:szCs w:val="20"/>
          <w:color w:val="auto"/>
        </w:rPr>
      </w:pPr>
    </w:p>
    <w:p>
      <w:pPr>
        <w:ind w:left="820" w:right="600" w:hanging="279"/>
        <w:spacing w:after="0" w:line="290" w:lineRule="auto"/>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designation and terms of the units and of the securities comprising the units, including whether and under what circumstances those securities may be held or transferred separately;</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of the governing unit agreement that differ from those described below; and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provisions for the issuance, payment, settlement, transfer or exchange of the units or of the securities comprising the units.</w:t>
      </w:r>
    </w:p>
    <w:p>
      <w:pPr>
        <w:spacing w:after="0" w:line="194" w:lineRule="exact"/>
        <w:rPr>
          <w:sz w:val="20"/>
          <w:szCs w:val="20"/>
          <w:color w:val="auto"/>
        </w:rPr>
      </w:pPr>
    </w:p>
    <w:p>
      <w:pPr>
        <w:ind w:right="340" w:firstLine="549"/>
        <w:spacing w:after="0" w:line="290" w:lineRule="auto"/>
        <w:rPr>
          <w:sz w:val="20"/>
          <w:szCs w:val="20"/>
          <w:color w:val="auto"/>
        </w:rPr>
      </w:pPr>
      <w:r>
        <w:rPr>
          <w:rFonts w:ascii="Times New Roman" w:cs="Times New Roman" w:eastAsia="Times New Roman" w:hAnsi="Times New Roman"/>
          <w:sz w:val="15"/>
          <w:szCs w:val="15"/>
          <w:color w:val="auto"/>
        </w:rPr>
        <w:t>The provisions described in this section, as well as those described under “Description of Capital Stock,” “Description of Debt Securities,” “Description of Warrants” and “Description of Rights” will apply to each unit and to any common stock, preferred stock, debt security, warrants or rights included in each unit,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Issuance in Series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may issue units in such amounts and in numerous distinct series as we determine.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Enforceability of Rights by Holders of Units</w:t>
      </w:r>
    </w:p>
    <w:p>
      <w:pPr>
        <w:spacing w:after="0" w:line="198" w:lineRule="exact"/>
        <w:rPr>
          <w:sz w:val="20"/>
          <w:szCs w:val="20"/>
          <w:color w:val="auto"/>
        </w:rPr>
      </w:pPr>
    </w:p>
    <w:p>
      <w:pPr>
        <w:ind w:right="280" w:firstLine="549"/>
        <w:spacing w:after="0" w:line="266" w:lineRule="auto"/>
        <w:rPr>
          <w:sz w:val="20"/>
          <w:szCs w:val="20"/>
          <w:color w:val="auto"/>
        </w:rPr>
      </w:pPr>
      <w:r>
        <w:rPr>
          <w:rFonts w:ascii="Times New Roman" w:cs="Times New Roman" w:eastAsia="Times New Roman" w:hAnsi="Times New Roman"/>
          <w:sz w:val="15"/>
          <w:szCs w:val="15"/>
          <w:color w:val="auto"/>
        </w:rPr>
        <w:t>Any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Title</w:t>
      </w:r>
    </w:p>
    <w:p>
      <w:pPr>
        <w:spacing w:after="0" w:line="198"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We, any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Outstanding Units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have no outstanding units.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may sell the securities being offered by this base prospectus separately or together through any of the following methods:</w:t>
      </w:r>
    </w:p>
    <w:p>
      <w:pPr>
        <w:spacing w:after="0" w:line="194" w:lineRule="exact"/>
        <w:rPr>
          <w:sz w:val="20"/>
          <w:szCs w:val="20"/>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or through one or more underwriters or dealers in a public offering and sale by them;</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to investors;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any national securities exchange or quotation service on which the securities may be listed or quoted at the time of sale;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over-the-counter market;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transactions other than on these exchanges or systems or in the over-the-counter market;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agents;</w:t>
      </w:r>
    </w:p>
    <w:p>
      <w:pPr>
        <w:spacing w:after="0" w:line="193" w:lineRule="exact"/>
        <w:rPr>
          <w:rFonts w:ascii="Times New Roman" w:cs="Times New Roman" w:eastAsia="Times New Roman" w:hAnsi="Times New Roman"/>
          <w:sz w:val="15"/>
          <w:szCs w:val="15"/>
          <w:color w:val="auto"/>
        </w:rPr>
      </w:pPr>
    </w:p>
    <w:p>
      <w:pPr>
        <w:ind w:left="820" w:hanging="279"/>
        <w:spacing w:after="0" w:line="290" w:lineRule="auto"/>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block trades in which the broker or dealer engaged to handle the block trade will attempt to sell the securities as agent, but may position and resell a portion of the block as principal to facilitate the transaction;</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“at the market offerings,” within the meaning of Rule 415(a)(4) of the Securities Act;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the writing or settlement of options or other hedging transactions, whether through an options exchange or otherwise;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brokerage transactions and transactions in which the broker-dealer solicits purchasers;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purchases by a broker-dealer as principal and resale by the broker-dealer for its account;</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exchange distribution in accordance with the rules of the applicable exchange;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through any combination of these methods of sale; or</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manner, as provided in the applicable prospectus supplement.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may distribute securities from time to time in one or more transactions:</w:t>
      </w:r>
    </w:p>
    <w:p>
      <w:pPr>
        <w:spacing w:after="0" w:line="194" w:lineRule="exact"/>
        <w:rPr>
          <w:sz w:val="20"/>
          <w:szCs w:val="20"/>
          <w:color w:val="auto"/>
        </w:rPr>
      </w:pPr>
    </w:p>
    <w:p>
      <w:pPr>
        <w:ind w:left="820" w:hanging="279"/>
        <w:spacing w:after="0"/>
        <w:tabs>
          <w:tab w:leader="none" w:pos="8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fixed price or prices, which may be changed;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market prices prevailing at the times of sale;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prices related to such prevailing market prices;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varying prices determined at the time of sale; or</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negotiated prices.</w:t>
      </w:r>
    </w:p>
    <w:p>
      <w:pPr>
        <w:spacing w:after="0" w:line="194" w:lineRule="exact"/>
        <w:rPr>
          <w:sz w:val="20"/>
          <w:szCs w:val="20"/>
          <w:color w:val="auto"/>
        </w:rPr>
      </w:pPr>
    </w:p>
    <w:p>
      <w:pPr>
        <w:jc w:val="both"/>
        <w:ind w:right="60" w:firstLine="549"/>
        <w:spacing w:after="0" w:line="272" w:lineRule="auto"/>
        <w:rPr>
          <w:sz w:val="20"/>
          <w:szCs w:val="20"/>
          <w:color w:val="auto"/>
        </w:rPr>
      </w:pPr>
      <w:r>
        <w:rPr>
          <w:rFonts w:ascii="Times New Roman" w:cs="Times New Roman" w:eastAsia="Times New Roman" w:hAnsi="Times New Roman"/>
          <w:sz w:val="15"/>
          <w:szCs w:val="15"/>
          <w:color w:val="auto"/>
        </w:rPr>
        <w:t>We will describe the method of distribution of the securities in the applicable prospectus supplement. We may also determine the price or other terms of the securities offered under this base prospectus by use of an electronic auction. We will describe how any auction will determine the price or any other terms, how potential investors may participate in the auction and the nature of the obligations of the underwriter, dealer or agent in the applicable prospectus supplement.</w:t>
      </w:r>
    </w:p>
    <w:p>
      <w:pPr>
        <w:spacing w:after="0" w:line="146" w:lineRule="exact"/>
        <w:rPr>
          <w:sz w:val="20"/>
          <w:szCs w:val="20"/>
          <w:color w:val="auto"/>
        </w:rPr>
      </w:pPr>
    </w:p>
    <w:p>
      <w:pPr>
        <w:ind w:right="40" w:firstLine="549"/>
        <w:spacing w:after="0" w:line="261" w:lineRule="auto"/>
        <w:rPr>
          <w:sz w:val="20"/>
          <w:szCs w:val="20"/>
          <w:color w:val="auto"/>
        </w:rPr>
      </w:pPr>
      <w:r>
        <w:rPr>
          <w:rFonts w:ascii="Times New Roman" w:cs="Times New Roman" w:eastAsia="Times New Roman" w:hAnsi="Times New Roman"/>
          <w:sz w:val="15"/>
          <w:szCs w:val="15"/>
          <w:color w:val="auto"/>
        </w:rPr>
        <w:t>Unless otherwise specified in the applicable prospectus supplement, each class or series of securities will be a new issue with no established trading market, other than our common stock, which is traded on The Nasdaq Capital Market.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whether an active trading market will develop for the offered securities or the liquidity of the trading market for any of the securities. We have no current plans for listing of the preferred stock, debt securities, warrants, rights or units on any securities exchange or quotation system. Any such listing with respect to any particular preferred stock, debt securities, warrants, rights or units will be described in the applicable prospectus supplement or other offering materials, as the case may be.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5" w:right="359" w:bottom="1440" w:gutter="0" w:footer="0" w:header="0"/>
        </w:sectPr>
      </w:pPr>
    </w:p>
    <w:bookmarkStart w:id="30" w:name="page31"/>
    <w:bookmarkEnd w:id="30"/>
    <w:p>
      <w:pPr>
        <w:ind w:right="100" w:firstLine="549"/>
        <w:spacing w:after="0" w:line="260" w:lineRule="auto"/>
        <w:rPr>
          <w:sz w:val="20"/>
          <w:szCs w:val="20"/>
          <w:color w:val="auto"/>
        </w:rPr>
      </w:pPr>
      <w:r>
        <w:rPr>
          <w:rFonts w:ascii="Times New Roman" w:cs="Times New Roman" w:eastAsia="Times New Roman" w:hAnsi="Times New Roman"/>
          <w:sz w:val="15"/>
          <w:szCs w:val="15"/>
          <w:color w:val="auto"/>
        </w:rPr>
        <w:t>Underwriters, dealers or agents may receive compensation in the form of discounts, concessions or commissions from us or our purchasers (as their agents in connection with the sale of the securities). In addition, underwriters may sell the securities to or through dealers, and those dealers may receive compensation in the form of discounts, concessions or commissions from the underwriters and/or commissions from the purchasers for whom they act as agent. These underwriters, dealers or agents may be considered to be underwriters under the Securities Act. As a result, discounts, commissions, or profits on resale received by the underwriters, dealers or agents may be treated as underwriting discounts and commissions. The prospectus supplement will identify any such underwriter, dealer or agent, and describe any compensation received by them from us as well as any other offering expenses. Only underwriters named in the prospectus supplement are underwriters of the securities offered by the prospectus supplement. Any initial public offering price and any discounts or concessions allowed or reallowed or paid to dealers may be changed from time to time.</w:t>
      </w:r>
    </w:p>
    <w:p>
      <w:pPr>
        <w:spacing w:after="0" w:line="157" w:lineRule="exact"/>
        <w:rPr>
          <w:sz w:val="20"/>
          <w:szCs w:val="20"/>
          <w:color w:val="auto"/>
        </w:rPr>
      </w:pPr>
    </w:p>
    <w:p>
      <w:pPr>
        <w:ind w:right="400" w:firstLine="549"/>
        <w:spacing w:after="0" w:line="272" w:lineRule="auto"/>
        <w:rPr>
          <w:sz w:val="20"/>
          <w:szCs w:val="20"/>
          <w:color w:val="auto"/>
        </w:rPr>
      </w:pPr>
      <w:r>
        <w:rPr>
          <w:rFonts w:ascii="Times New Roman" w:cs="Times New Roman" w:eastAsia="Times New Roman" w:hAnsi="Times New Roman"/>
          <w:sz w:val="15"/>
          <w:szCs w:val="15"/>
          <w:color w:val="auto"/>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46" w:lineRule="exact"/>
        <w:rPr>
          <w:sz w:val="20"/>
          <w:szCs w:val="20"/>
          <w:color w:val="auto"/>
        </w:rPr>
      </w:pPr>
    </w:p>
    <w:p>
      <w:pPr>
        <w:jc w:val="both"/>
        <w:ind w:right="260" w:firstLine="549"/>
        <w:spacing w:after="0" w:line="272" w:lineRule="auto"/>
        <w:rPr>
          <w:sz w:val="20"/>
          <w:szCs w:val="20"/>
          <w:color w:val="auto"/>
        </w:rPr>
      </w:pPr>
      <w:r>
        <w:rPr>
          <w:rFonts w:ascii="Times New Roman" w:cs="Times New Roman" w:eastAsia="Times New Roman" w:hAnsi="Times New Roman"/>
          <w:sz w:val="15"/>
          <w:szCs w:val="15"/>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46" w:lineRule="exact"/>
        <w:rPr>
          <w:sz w:val="20"/>
          <w:szCs w:val="20"/>
          <w:color w:val="auto"/>
        </w:rPr>
      </w:pPr>
    </w:p>
    <w:p>
      <w:pPr>
        <w:ind w:right="160" w:firstLine="549"/>
        <w:spacing w:after="0" w:line="290" w:lineRule="auto"/>
        <w:rPr>
          <w:sz w:val="20"/>
          <w:szCs w:val="20"/>
          <w:color w:val="auto"/>
        </w:rPr>
      </w:pPr>
      <w:r>
        <w:rPr>
          <w:rFonts w:ascii="Times New Roman" w:cs="Times New Roman" w:eastAsia="Times New Roman" w:hAnsi="Times New Roman"/>
          <w:sz w:val="15"/>
          <w:szCs w:val="15"/>
          <w:color w:val="auto"/>
        </w:rPr>
        <w:t>Underwriters, dealers and agents may be entitled to indemnification by us against certain civil liabilities, including liabilities under the Securities Act, or to contribution with respect to payments made by the underwriters, dealers or agents, under agreements between us and the underwriters, dealers and agents.</w:t>
      </w:r>
    </w:p>
    <w:p>
      <w:pPr>
        <w:spacing w:after="0" w:line="133" w:lineRule="exact"/>
        <w:rPr>
          <w:sz w:val="20"/>
          <w:szCs w:val="20"/>
          <w:color w:val="auto"/>
        </w:rPr>
      </w:pPr>
    </w:p>
    <w:p>
      <w:pPr>
        <w:ind w:right="100" w:firstLine="549"/>
        <w:spacing w:after="0" w:line="263" w:lineRule="auto"/>
        <w:rPr>
          <w:sz w:val="20"/>
          <w:szCs w:val="20"/>
          <w:color w:val="auto"/>
        </w:rPr>
      </w:pPr>
      <w:r>
        <w:rPr>
          <w:rFonts w:ascii="Times New Roman" w:cs="Times New Roman" w:eastAsia="Times New Roman" w:hAnsi="Times New Roman"/>
          <w:sz w:val="15"/>
          <w:szCs w:val="15"/>
          <w:color w:val="auto"/>
        </w:rPr>
        <w:t>Any person participating in the distribution of common stock registered under the registration statement that includes this base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54"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We may grant underwriters who participate in the distribution of the securities an option to purchase additional securities to cover overallotments, if any, in connection with the distribution. Any underwriter may engage in overallotment, stabilizing transactions, short-covering transactions and penalty bids in accordance with Regulation M that stabilize, maintain or otherwise affect the price of the offered securities.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common stock in the open market after the distribution is completed to cover short positions. Penalty bids permit the underwriters to reclaim a selling concession from a dealer when the common stock originally sold by the dealer is purchased in a covering transaction to cover short positions. Those activities may cause the price of the common stock to be higher than it would otherwise be. If commenced, the underwriters may discontinue any of the activities at any time. If any such activities will occur, they will be described in the applicable prospectus supplement.</w:t>
      </w:r>
    </w:p>
    <w:p>
      <w:pPr>
        <w:spacing w:after="0" w:line="340" w:lineRule="exact"/>
        <w:rPr>
          <w:sz w:val="20"/>
          <w:szCs w:val="20"/>
          <w:color w:val="auto"/>
        </w:rPr>
      </w:pPr>
    </w:p>
    <w:p>
      <w:pPr>
        <w:ind w:right="500" w:firstLine="549"/>
        <w:spacing w:after="0" w:line="290" w:lineRule="auto"/>
        <w:rPr>
          <w:sz w:val="20"/>
          <w:szCs w:val="20"/>
          <w:color w:val="auto"/>
        </w:rPr>
      </w:pPr>
      <w:r>
        <w:rPr>
          <w:rFonts w:ascii="Times New Roman" w:cs="Times New Roman" w:eastAsia="Times New Roman" w:hAnsi="Times New Roman"/>
          <w:sz w:val="15"/>
          <w:szCs w:val="15"/>
          <w:color w:val="auto"/>
        </w:rPr>
        <w:t>Underwriters or agents and their associates may be customers of, engage in transactions with or perform services for us in the ordinary course of business and any such relationships will be described in the applicable prospectus supplement.</w:t>
      </w:r>
    </w:p>
    <w:p>
      <w:pPr>
        <w:spacing w:after="0" w:line="133" w:lineRule="exact"/>
        <w:rPr>
          <w:sz w:val="20"/>
          <w:szCs w:val="20"/>
          <w:color w:val="auto"/>
        </w:rPr>
      </w:pPr>
    </w:p>
    <w:p>
      <w:pPr>
        <w:ind w:right="120" w:firstLine="549"/>
        <w:spacing w:after="0" w:line="290" w:lineRule="auto"/>
        <w:rPr>
          <w:sz w:val="20"/>
          <w:szCs w:val="20"/>
          <w:color w:val="auto"/>
        </w:rPr>
      </w:pPr>
      <w:r>
        <w:rPr>
          <w:rFonts w:ascii="Times New Roman" w:cs="Times New Roman" w:eastAsia="Times New Roman" w:hAnsi="Times New Roman"/>
          <w:sz w:val="15"/>
          <w:szCs w:val="15"/>
          <w:color w:val="auto"/>
        </w:rPr>
        <w:t>If 5% or more of the net proceeds of any offering of securities made under this base prospectus will be received by a FINRA member participating in the offering or affiliates or associated persons of such FINRA member, the offering will be conducted in accordance with FINRA Conduct Rule 5121.</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To the extent required, this base prospectus may be amended or supplemented from time to time to describe a specific plan of distribution.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1" w:name="page32"/>
    <w:bookmarkEnd w:id="31"/>
    <w:p>
      <w:pPr>
        <w:jc w:val="center"/>
        <w:ind w:right="-35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8"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Unless the applicable prospectus supplement indicates otherwise, the validity of the securities being offered by this base prospectus will be passed upon by Orrick, Herrington &amp; Sutcliffe LLP, Boston, Massachusetts. Additional legal matters may be passed upon for us or any underwriters, dealers or agents, by counsel that we will name in an applicable prospectus supplement.</w:t>
      </w:r>
    </w:p>
    <w:p>
      <w:pPr>
        <w:spacing w:after="0" w:line="32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880"/>
          </w:cols>
          <w:pgMar w:left="320" w:top="785" w:right="69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8" w:lineRule="exact"/>
        <w:rPr>
          <w:sz w:val="20"/>
          <w:szCs w:val="20"/>
          <w:color w:val="auto"/>
        </w:rPr>
      </w:pPr>
    </w:p>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The financial statements as of December 31, 2025 and for the year ended December 31, 2025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46"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The consolidated financial statements of the Company as of and for the year ended December 31, 2024 incorporated by reference in this prospectus have been audited by dbbmckennon, an independent registered public accounting firm, as set forth in their report thereon, which is also incorporated by reference herein, and are incorporated by reference in reliance upon such report given on the authority of such firm as experts in accounting and auditing.</w:t>
      </w:r>
    </w:p>
    <w:p>
      <w:pPr>
        <w:spacing w:after="0" w:line="146" w:lineRule="exact"/>
        <w:rPr>
          <w:sz w:val="20"/>
          <w:szCs w:val="20"/>
          <w:color w:val="auto"/>
        </w:rPr>
      </w:pPr>
    </w:p>
    <w:p>
      <w:pPr>
        <w:ind w:right="80" w:firstLine="549"/>
        <w:spacing w:after="0" w:line="272" w:lineRule="auto"/>
        <w:rPr>
          <w:sz w:val="20"/>
          <w:szCs w:val="20"/>
          <w:color w:val="auto"/>
        </w:rPr>
      </w:pPr>
      <w:r>
        <w:rPr>
          <w:rFonts w:ascii="Times New Roman" w:cs="Times New Roman" w:eastAsia="Times New Roman" w:hAnsi="Times New Roman"/>
          <w:sz w:val="15"/>
          <w:szCs w:val="15"/>
          <w:color w:val="auto"/>
        </w:rPr>
        <w:t>The consolidated financial statements of the Diligent Robotics, Inc. as of and for the year ended December 31, 2025 incorporated by reference in this prospectus have been audited by dbbmckennon, an independent registered public accounting firm, as set forth in their report thereon, which is also incorporated by reference herein, and are incorporated by reference in reliance upon such report given on the authority of such firm as experts in accounting and auditing.</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5" w:right="35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8" w:lineRule="exact"/>
        <w:rPr>
          <w:sz w:val="20"/>
          <w:szCs w:val="20"/>
          <w:color w:val="auto"/>
        </w:rPr>
      </w:pPr>
    </w:p>
    <w:p>
      <w:pPr>
        <w:ind w:right="120" w:firstLine="549"/>
        <w:spacing w:after="0" w:line="266" w:lineRule="auto"/>
        <w:rPr>
          <w:sz w:val="20"/>
          <w:szCs w:val="20"/>
          <w:color w:val="auto"/>
        </w:rPr>
      </w:pPr>
      <w:r>
        <w:rPr>
          <w:rFonts w:ascii="Times New Roman" w:cs="Times New Roman" w:eastAsia="Times New Roman" w:hAnsi="Times New Roman"/>
          <w:sz w:val="15"/>
          <w:szCs w:val="15"/>
          <w:color w:val="auto"/>
        </w:rPr>
        <w:t xml:space="preserve">The SEC maintains an Internet site that contains reports, proxy and information statements, and other information regarding companies that file electronically with the SEC. We file annual, quarterly and current reports, proxy statements and other information with the SEC. Our SEC filings are available free of charge to the public at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We also maintain a website at</w:t>
      </w:r>
      <w:r>
        <w:rPr>
          <w:rFonts w:ascii="Times New Roman" w:cs="Times New Roman" w:eastAsia="Times New Roman" w:hAnsi="Times New Roman"/>
          <w:sz w:val="15"/>
          <w:szCs w:val="15"/>
          <w:i w:val="1"/>
          <w:iCs w:val="1"/>
          <w:color w:val="auto"/>
        </w:rPr>
        <w:t xml:space="preserve"> investors.serverobotics.com </w:t>
      </w:r>
      <w:r>
        <w:rPr>
          <w:rFonts w:ascii="Times New Roman" w:cs="Times New Roman" w:eastAsia="Times New Roman" w:hAnsi="Times New Roman"/>
          <w:sz w:val="15"/>
          <w:szCs w:val="15"/>
          <w:color w:val="auto"/>
        </w:rPr>
        <w:t>where you can access our SEC filings free of charge. Information contained on, or that can be accessed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through, our website is not a part of this prospectus.</w:t>
      </w:r>
    </w:p>
    <w:p>
      <w:pPr>
        <w:spacing w:after="0" w:line="151" w:lineRule="exact"/>
        <w:rPr>
          <w:sz w:val="20"/>
          <w:szCs w:val="20"/>
          <w:color w:val="auto"/>
        </w:rPr>
      </w:pPr>
    </w:p>
    <w:p>
      <w:pPr>
        <w:ind w:firstLine="549"/>
        <w:spacing w:after="0" w:line="263" w:lineRule="auto"/>
        <w:rPr>
          <w:sz w:val="20"/>
          <w:szCs w:val="20"/>
          <w:color w:val="auto"/>
        </w:rPr>
      </w:pPr>
      <w:r>
        <w:rPr>
          <w:rFonts w:ascii="Times New Roman" w:cs="Times New Roman" w:eastAsia="Times New Roman" w:hAnsi="Times New Roman"/>
          <w:sz w:val="15"/>
          <w:szCs w:val="15"/>
          <w:color w:val="auto"/>
        </w:rPr>
        <w:t>We have filed with the SEC a registration statement on Form S-3 relating to the securities covered by this base prospectus. This base prospectus is a part of the registration statement and does not contain all of the information in the registration statement. Other documents establishing the terms of the offered securities are or may be filed as exhibits to the registration statement or documents incorporated by reference in the registration statement. Whenever a reference is made in this base prospectus to a contract or other document of ours, the reference is only a summary and you should refer to the exhibits that are a part of the registration statement for a copy of the contract or other document. You may review a copy of the registration statement through the SEC’s website, as provided above.</w:t>
      </w: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180"/>
          </w:cols>
          <w:pgMar w:left="320" w:top="785" w:right="3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OF CERTAIN DOCUMENTS BY REFERENCE</w:t>
      </w:r>
    </w:p>
    <w:p>
      <w:pPr>
        <w:spacing w:after="0" w:line="198" w:lineRule="exact"/>
        <w:rPr>
          <w:sz w:val="20"/>
          <w:szCs w:val="20"/>
          <w:color w:val="auto"/>
        </w:rPr>
      </w:pPr>
    </w:p>
    <w:p>
      <w:pPr>
        <w:ind w:right="40" w:firstLine="549"/>
        <w:spacing w:after="0" w:line="261" w:lineRule="auto"/>
        <w:rPr>
          <w:sz w:val="20"/>
          <w:szCs w:val="20"/>
          <w:color w:val="auto"/>
        </w:rPr>
      </w:pPr>
      <w:r>
        <w:rPr>
          <w:rFonts w:ascii="Times New Roman" w:cs="Times New Roman" w:eastAsia="Times New Roman" w:hAnsi="Times New Roman"/>
          <w:sz w:val="15"/>
          <w:szCs w:val="15"/>
          <w:color w:val="auto"/>
        </w:rPr>
        <w:t>The SEC and applicable law allows us to “incorporate by reference” the information from other documents we file with the SEC, which means that we can disclose important information to you by referring you to those documents instead of having to repeat the information in this base prospectus. The information incorporated by reference is considered to be part of this base prospectus, and later information that we file with the SEC will automatically update and supersede this information. We incorporate by reference the documents listed below and any future filings (including those made after the date of the initial filing of the registration statement of which this base prospectus is a part and prior to the effectiveness of such registration statement) we will make with the SEC under Sections 13(a), 13(c), 14, or 15(d) of the Exchange Act until the termination of the registration statement of which this base prospectus is a part (other than, in each case, documents or information deemed to have been furnished and not filed in accordance with SEC rules):</w:t>
      </w:r>
    </w:p>
    <w:p>
      <w:pPr>
        <w:spacing w:after="0" w:line="157" w:lineRule="exact"/>
        <w:rPr>
          <w:sz w:val="20"/>
          <w:szCs w:val="20"/>
          <w:color w:val="auto"/>
        </w:rPr>
      </w:pPr>
    </w:p>
    <w:p>
      <w:pPr>
        <w:ind w:left="820" w:hanging="279"/>
        <w:spacing w:after="0"/>
        <w:tabs>
          <w:tab w:leader="none" w:pos="8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Form 10-K for the fiscal year ended December 31, 2025 filed with the SEC on </w:t>
      </w:r>
      <w:hyperlink r:id="rId49">
        <w:r>
          <w:rPr>
            <w:rFonts w:ascii="Times New Roman" w:cs="Times New Roman" w:eastAsia="Times New Roman" w:hAnsi="Times New Roman"/>
            <w:sz w:val="15"/>
            <w:szCs w:val="15"/>
            <w:u w:val="single" w:color="auto"/>
            <w:color w:val="0000EE"/>
          </w:rPr>
          <w:t>March 12, 2026</w:t>
        </w:r>
      </w:hyperlink>
      <w:r>
        <w:rPr>
          <w:rFonts w:ascii="Times New Roman" w:cs="Times New Roman" w:eastAsia="Times New Roman" w:hAnsi="Times New Roman"/>
          <w:sz w:val="15"/>
          <w:szCs w:val="15"/>
          <w:color w:val="auto"/>
        </w:rPr>
        <w:t>;</w:t>
      </w:r>
    </w:p>
    <w:p>
      <w:pPr>
        <w:spacing w:after="0" w:line="193" w:lineRule="exact"/>
        <w:rPr>
          <w:rFonts w:ascii="Times New Roman" w:cs="Times New Roman" w:eastAsia="Times New Roman" w:hAnsi="Times New Roman"/>
          <w:sz w:val="15"/>
          <w:szCs w:val="15"/>
          <w:color w:val="auto"/>
        </w:rPr>
      </w:pPr>
    </w:p>
    <w:p>
      <w:pPr>
        <w:ind w:left="820" w:hanging="279"/>
        <w:spacing w:after="0" w:line="290" w:lineRule="auto"/>
        <w:tabs>
          <w:tab w:leader="none" w:pos="820" w:val="left"/>
        </w:tabs>
        <w:numPr>
          <w:ilvl w:val="0"/>
          <w:numId w:val="25"/>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xml:space="preserve">the information specifically incorporated by reference into our Annual Report on Form 10-K from our Definitive Proxy Statement on Schedule 14A, filed with the SEC on </w:t>
      </w:r>
      <w:hyperlink r:id="rId50">
        <w:r>
          <w:rPr>
            <w:rFonts w:ascii="Times New Roman" w:cs="Times New Roman" w:eastAsia="Times New Roman" w:hAnsi="Times New Roman"/>
            <w:sz w:val="15"/>
            <w:szCs w:val="15"/>
            <w:u w:val="single" w:color="auto"/>
            <w:color w:val="0000EE"/>
          </w:rPr>
          <w:t>April 24, 2026;</w:t>
        </w:r>
      </w:hyperlink>
    </w:p>
    <w:p>
      <w:pPr>
        <w:spacing w:after="0" w:line="132" w:lineRule="exact"/>
        <w:rPr>
          <w:rFonts w:ascii="Times New Roman" w:cs="Times New Roman" w:eastAsia="Times New Roman" w:hAnsi="Times New Roman"/>
          <w:sz w:val="15"/>
          <w:szCs w:val="15"/>
          <w:u w:val="single" w:color="auto"/>
          <w:color w:val="0000EE"/>
        </w:rPr>
      </w:pPr>
    </w:p>
    <w:p>
      <w:pPr>
        <w:ind w:left="820" w:hanging="279"/>
        <w:spacing w:after="0"/>
        <w:tabs>
          <w:tab w:leader="none" w:pos="8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Form 10-Q for the quarter ended March 31, 2026 filed with the SEC on </w:t>
      </w:r>
      <w:hyperlink r:id="rId51">
        <w:r>
          <w:rPr>
            <w:rFonts w:ascii="Times New Roman" w:cs="Times New Roman" w:eastAsia="Times New Roman" w:hAnsi="Times New Roman"/>
            <w:sz w:val="15"/>
            <w:szCs w:val="15"/>
            <w:u w:val="single" w:color="auto"/>
            <w:color w:val="0000EE"/>
          </w:rPr>
          <w:t>May 7, 2026</w:t>
        </w:r>
      </w:hyperlink>
      <w:r>
        <w:rPr>
          <w:rFonts w:ascii="Times New Roman" w:cs="Times New Roman" w:eastAsia="Times New Roman" w:hAnsi="Times New Roman"/>
          <w:sz w:val="15"/>
          <w:szCs w:val="15"/>
          <w:color w:val="auto"/>
        </w:rPr>
        <w:t>;</w:t>
      </w:r>
    </w:p>
    <w:p>
      <w:pPr>
        <w:spacing w:after="0" w:line="193" w:lineRule="exact"/>
        <w:rPr>
          <w:rFonts w:ascii="Times New Roman" w:cs="Times New Roman" w:eastAsia="Times New Roman" w:hAnsi="Times New Roman"/>
          <w:sz w:val="15"/>
          <w:szCs w:val="15"/>
          <w:color w:val="auto"/>
        </w:rPr>
      </w:pPr>
    </w:p>
    <w:p>
      <w:pPr>
        <w:ind w:left="820" w:right="100" w:hanging="279"/>
        <w:spacing w:after="0" w:line="290" w:lineRule="auto"/>
        <w:tabs>
          <w:tab w:leader="none" w:pos="8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Current Reports on Form 8-K filed with the SEC on </w:t>
      </w:r>
      <w:hyperlink r:id="rId52">
        <w:r>
          <w:rPr>
            <w:rFonts w:ascii="Times New Roman" w:cs="Times New Roman" w:eastAsia="Times New Roman" w:hAnsi="Times New Roman"/>
            <w:sz w:val="15"/>
            <w:szCs w:val="15"/>
            <w:u w:val="single" w:color="auto"/>
            <w:color w:val="0000EE"/>
          </w:rPr>
          <w:t>January 21, 2026</w:t>
        </w:r>
      </w:hyperlink>
      <w:r>
        <w:rPr>
          <w:rFonts w:ascii="Times New Roman" w:cs="Times New Roman" w:eastAsia="Times New Roman" w:hAnsi="Times New Roman"/>
          <w:sz w:val="15"/>
          <w:szCs w:val="15"/>
          <w:color w:val="auto"/>
        </w:rPr>
        <w:t xml:space="preserve">, </w:t>
      </w:r>
      <w:hyperlink r:id="rId53">
        <w:r>
          <w:rPr>
            <w:rFonts w:ascii="Times New Roman" w:cs="Times New Roman" w:eastAsia="Times New Roman" w:hAnsi="Times New Roman"/>
            <w:sz w:val="15"/>
            <w:szCs w:val="15"/>
            <w:u w:val="single" w:color="auto"/>
            <w:color w:val="0000EE"/>
          </w:rPr>
          <w:t>January 29, 2026</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(as amended </w:t>
      </w:r>
      <w:hyperlink r:id="rId54">
        <w:r>
          <w:rPr>
            <w:rFonts w:ascii="Times New Roman" w:cs="Times New Roman" w:eastAsia="Times New Roman" w:hAnsi="Times New Roman"/>
            <w:sz w:val="15"/>
            <w:szCs w:val="15"/>
            <w:u w:val="single" w:color="auto"/>
            <w:color w:val="0000EE"/>
          </w:rPr>
          <w:t>April 14, 2026</w:t>
        </w:r>
      </w:hyperlink>
      <w:r>
        <w:rPr>
          <w:rFonts w:ascii="Times New Roman" w:cs="Times New Roman" w:eastAsia="Times New Roman" w:hAnsi="Times New Roman"/>
          <w:sz w:val="15"/>
          <w:szCs w:val="15"/>
          <w:color w:val="auto"/>
        </w:rPr>
        <w:t xml:space="preserve">), </w:t>
      </w:r>
      <w:hyperlink r:id="rId55">
        <w:r>
          <w:rPr>
            <w:rFonts w:ascii="Times New Roman" w:cs="Times New Roman" w:eastAsia="Times New Roman" w:hAnsi="Times New Roman"/>
            <w:sz w:val="15"/>
            <w:szCs w:val="15"/>
            <w:u w:val="single" w:color="auto"/>
            <w:color w:val="0000EE"/>
          </w:rPr>
          <w:t>February 20, 2026</w:t>
        </w:r>
      </w:hyperlink>
      <w:r>
        <w:rPr>
          <w:rFonts w:ascii="Times New Roman" w:cs="Times New Roman" w:eastAsia="Times New Roman" w:hAnsi="Times New Roman"/>
          <w:sz w:val="15"/>
          <w:szCs w:val="15"/>
          <w:color w:val="auto"/>
        </w:rPr>
        <w:t xml:space="preserve">, and </w:t>
      </w:r>
      <w:hyperlink r:id="rId56">
        <w:r>
          <w:rPr>
            <w:rFonts w:ascii="Times New Roman" w:cs="Times New Roman" w:eastAsia="Times New Roman" w:hAnsi="Times New Roman"/>
            <w:sz w:val="15"/>
            <w:szCs w:val="15"/>
            <w:u w:val="single" w:color="auto"/>
            <w:color w:val="0000EE"/>
          </w:rPr>
          <w:t>May 11, 2026</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(in each case, except for information contained therein which is furnished rather than filed); and</w:t>
      </w:r>
    </w:p>
    <w:p>
      <w:pPr>
        <w:spacing w:after="0" w:line="132" w:lineRule="exact"/>
        <w:rPr>
          <w:rFonts w:ascii="Times New Roman" w:cs="Times New Roman" w:eastAsia="Times New Roman" w:hAnsi="Times New Roman"/>
          <w:sz w:val="15"/>
          <w:szCs w:val="15"/>
          <w:color w:val="auto"/>
        </w:rPr>
      </w:pPr>
    </w:p>
    <w:p>
      <w:pPr>
        <w:ind w:left="820" w:right="700" w:hanging="279"/>
        <w:spacing w:after="0" w:line="290" w:lineRule="auto"/>
        <w:tabs>
          <w:tab w:leader="none" w:pos="82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contained in </w:t>
      </w:r>
      <w:hyperlink r:id="rId57">
        <w:r>
          <w:rPr>
            <w:rFonts w:ascii="Times New Roman" w:cs="Times New Roman" w:eastAsia="Times New Roman" w:hAnsi="Times New Roman"/>
            <w:sz w:val="15"/>
            <w:szCs w:val="15"/>
            <w:u w:val="single" w:color="auto"/>
            <w:color w:val="0000EE"/>
          </w:rPr>
          <w:t>Exhibit 4.8</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to the Annual Report on </w:t>
      </w:r>
      <w:hyperlink r:id="rId57">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2023 filed with the SEC on February 29, 2024, and including any other amendments or reports filed for the purpose of updating such description.</w:t>
      </w:r>
    </w:p>
    <w:p>
      <w:pPr>
        <w:spacing w:after="0" w:line="133" w:lineRule="exact"/>
        <w:rPr>
          <w:rFonts w:ascii="Times New Roman" w:cs="Times New Roman" w:eastAsia="Times New Roman" w:hAnsi="Times New Roman"/>
          <w:sz w:val="15"/>
          <w:szCs w:val="15"/>
          <w:color w:val="auto"/>
        </w:rPr>
      </w:pPr>
    </w:p>
    <w:p>
      <w:pPr>
        <w:ind w:right="60" w:firstLine="549"/>
        <w:spacing w:after="0" w:line="266" w:lineRule="auto"/>
        <w:rPr>
          <w:sz w:val="20"/>
          <w:szCs w:val="20"/>
          <w:color w:val="auto"/>
        </w:rPr>
      </w:pPr>
      <w:r>
        <w:rPr>
          <w:rFonts w:ascii="Times New Roman" w:cs="Times New Roman" w:eastAsia="Times New Roman" w:hAnsi="Times New Roman"/>
          <w:sz w:val="15"/>
          <w:szCs w:val="15"/>
          <w:color w:val="auto"/>
        </w:rPr>
        <w:t>Any statement contained in this base prospectus, or in a document all or a portion of which is incorporated by reference, shall be modified or superseded for purposes of this base prospectus to the extent that a statement contained in this base prospectus, any applicable prospectus supplement and any related free writing prospectus or any document incorporated by reference modifies or supersedes such statement. Any such statement so modified or superseded shall not, except as so modified or superseded, constitute a part of this base prospectus.</w:t>
      </w:r>
    </w:p>
    <w:p>
      <w:pPr>
        <w:spacing w:after="0" w:line="151" w:lineRule="exact"/>
        <w:rPr>
          <w:rFonts w:ascii="Times New Roman" w:cs="Times New Roman" w:eastAsia="Times New Roman" w:hAnsi="Times New Roman"/>
          <w:sz w:val="15"/>
          <w:szCs w:val="15"/>
          <w:color w:val="auto"/>
        </w:rPr>
      </w:pPr>
    </w:p>
    <w:p>
      <w:pPr>
        <w:ind w:right="160" w:firstLine="549"/>
        <w:spacing w:after="0" w:line="272" w:lineRule="auto"/>
        <w:rPr>
          <w:sz w:val="20"/>
          <w:szCs w:val="20"/>
          <w:color w:val="auto"/>
        </w:rPr>
      </w:pPr>
      <w:r>
        <w:rPr>
          <w:rFonts w:ascii="Times New Roman" w:cs="Times New Roman" w:eastAsia="Times New Roman" w:hAnsi="Times New Roman"/>
          <w:sz w:val="15"/>
          <w:szCs w:val="15"/>
          <w:color w:val="auto"/>
        </w:rPr>
        <w:t>Upon written or oral request, we will provide, without charge, to each person, including any beneficial owner, to whom a copy of this base prospectus is delivered, a copy of the documents incorporated by reference into this base prospectus but not delivered with this base prospectus. You may request a copy of these filings, and any exhibits we have specifically incorporated by reference as an exhibit in this base prospectus, at no cost to you by writing or telephoning us at the following:</w:t>
      </w:r>
    </w:p>
    <w:p>
      <w:pPr>
        <w:spacing w:after="0" w:line="146"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Serve Robotics Inc.</w:t>
      </w:r>
    </w:p>
    <w:p>
      <w:pPr>
        <w:spacing w:after="0" w:line="25" w:lineRule="exact"/>
        <w:rPr>
          <w:rFonts w:ascii="Times New Roman" w:cs="Times New Roman" w:eastAsia="Times New Roman" w:hAnsi="Times New Roman"/>
          <w:sz w:val="15"/>
          <w:szCs w:val="15"/>
          <w:color w:val="auto"/>
        </w:rPr>
      </w:pPr>
    </w:p>
    <w:p>
      <w:pPr>
        <w:ind w:left="5440" w:hanging="263"/>
        <w:spacing w:after="0"/>
        <w:tabs>
          <w:tab w:leader="none" w:pos="544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Broadway</w:t>
      </w:r>
    </w:p>
    <w:p>
      <w:pPr>
        <w:spacing w:after="0" w:line="10" w:lineRule="exact"/>
        <w:rPr>
          <w:rFonts w:ascii="Times New Roman" w:cs="Times New Roman" w:eastAsia="Times New Roman" w:hAnsi="Times New Roman"/>
          <w:sz w:val="15"/>
          <w:szCs w:val="15"/>
          <w:color w:val="auto"/>
        </w:rPr>
      </w:pPr>
    </w:p>
    <w:p>
      <w:pPr>
        <w:ind w:left="4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Redwood City, California 94063</w:t>
      </w:r>
    </w:p>
    <w:p>
      <w:pPr>
        <w:spacing w:after="0" w:line="1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Attn: Brian Read, Chief Financial Officer</w:t>
      </w:r>
    </w:p>
    <w:p>
      <w:pPr>
        <w:spacing w:after="0" w:line="1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(818) 860-1352</w:t>
      </w:r>
    </w:p>
    <w:p>
      <w:pPr>
        <w:spacing w:after="0" w:line="175" w:lineRule="exact"/>
        <w:rPr>
          <w:rFonts w:ascii="Times New Roman" w:cs="Times New Roman" w:eastAsia="Times New Roman" w:hAnsi="Times New Roman"/>
          <w:sz w:val="15"/>
          <w:szCs w:val="15"/>
          <w:color w:val="auto"/>
        </w:rPr>
      </w:pPr>
    </w:p>
    <w:p>
      <w:pPr>
        <w:ind w:right="300" w:firstLine="549"/>
        <w:spacing w:after="0" w:line="275" w:lineRule="auto"/>
        <w:rPr>
          <w:sz w:val="20"/>
          <w:szCs w:val="20"/>
          <w:color w:val="auto"/>
        </w:rPr>
      </w:pPr>
      <w:r>
        <w:rPr>
          <w:rFonts w:ascii="Times New Roman" w:cs="Times New Roman" w:eastAsia="Times New Roman" w:hAnsi="Times New Roman"/>
          <w:sz w:val="15"/>
          <w:szCs w:val="15"/>
          <w:color w:val="auto"/>
        </w:rPr>
        <w:t xml:space="preserve">You may also access these documents, free of charge on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xml:space="preserve"> or on our website at </w:t>
      </w:r>
      <w:r>
        <w:rPr>
          <w:rFonts w:ascii="Times New Roman" w:cs="Times New Roman" w:eastAsia="Times New Roman" w:hAnsi="Times New Roman"/>
          <w:sz w:val="15"/>
          <w:szCs w:val="15"/>
          <w:i w:val="1"/>
          <w:iCs w:val="1"/>
          <w:color w:val="auto"/>
        </w:rPr>
        <w:t>investors.serverobotics.com</w:t>
      </w:r>
      <w:r>
        <w:rPr>
          <w:rFonts w:ascii="Times New Roman" w:cs="Times New Roman" w:eastAsia="Times New Roman" w:hAnsi="Times New Roman"/>
          <w:sz w:val="15"/>
          <w:szCs w:val="15"/>
          <w:color w:val="auto"/>
        </w:rPr>
        <w:t>. Information contained on our website is not incorporated by reference into this base prospectus, and you should not consider any information on, or that can be accessed from, our website as part of this base prospectus or any accompanying prospectus supplement.</w:t>
      </w:r>
    </w:p>
    <w:p>
      <w:pPr>
        <w:spacing w:after="0" w:line="319"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35" w:name="page36"/>
    <w:bookmarkEnd w:id="35"/>
    <w:p>
      <w:pPr>
        <w:ind w:right="280"/>
        <w:spacing w:after="0" w:line="275" w:lineRule="auto"/>
        <w:rPr>
          <w:sz w:val="20"/>
          <w:szCs w:val="20"/>
          <w:color w:val="auto"/>
        </w:rPr>
      </w:pPr>
      <w:r>
        <w:rPr>
          <w:rFonts w:ascii="Times New Roman" w:cs="Times New Roman" w:eastAsia="Times New Roman" w:hAnsi="Times New Roman"/>
          <w:sz w:val="15"/>
          <w:szCs w:val="15"/>
          <w:b w:val="1"/>
          <w:bCs w:val="1"/>
          <w:color w:val="FF0000"/>
        </w:rPr>
        <w:t>The information in this prospectus is not complete and may be changed. We may not sell these securities until the registration statement filed with the U.S. Securities and Exchange Commission is effective. This prospectus is not an offer to sell these securities, and we are not soliciting offers to buy these securities, in any state or other jurisdiction where the offer or sale is not permitted.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FF0000"/>
        </w:rPr>
        <w:t>SUBJECT TO COMPLETION, DATED MAY 11,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Prospectus Supplement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UP TO $150,000,000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134620</wp:posOffset>
            </wp:positionV>
            <wp:extent cx="1555750" cy="5816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555750" cy="58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98" w:lineRule="exact"/>
        <w:rPr>
          <w:sz w:val="20"/>
          <w:szCs w:val="20"/>
          <w:color w:val="auto"/>
        </w:rPr>
      </w:pPr>
    </w:p>
    <w:p>
      <w:pPr>
        <w:ind w:right="120" w:firstLine="549"/>
        <w:spacing w:after="0" w:line="266" w:lineRule="auto"/>
        <w:rPr>
          <w:sz w:val="20"/>
          <w:szCs w:val="20"/>
          <w:color w:val="auto"/>
        </w:rPr>
      </w:pPr>
      <w:r>
        <w:rPr>
          <w:rFonts w:ascii="Times New Roman" w:cs="Times New Roman" w:eastAsia="Times New Roman" w:hAnsi="Times New Roman"/>
          <w:sz w:val="15"/>
          <w:szCs w:val="15"/>
          <w:color w:val="auto"/>
        </w:rPr>
        <w:t>We have entered into a Sales Agreement (the “Sales Agreement”) with Evercore Group L.L.C., Guggenheim Securities, LLC, Oppenheimer &amp; Co. Inc., Northland Securities, Inc. and Wedbush Securities Inc. (collectively, the “Agents”) relating to shares of our common stock, par value $0.0001 per share, offered by this prospectus supplement and the accompanying base prospectus (together, the “prospectus”). In accordance with the terms of the Sales Agreement, we may offer and sell shares of our common stock having an aggregate offering price of up to $150,000,000 from time to time through or to the Agents, acting as sales agents or principals.</w:t>
      </w:r>
    </w:p>
    <w:p>
      <w:pPr>
        <w:spacing w:after="0" w:line="151" w:lineRule="exact"/>
        <w:rPr>
          <w:sz w:val="20"/>
          <w:szCs w:val="20"/>
          <w:color w:val="auto"/>
        </w:rPr>
      </w:pPr>
    </w:p>
    <w:p>
      <w:pPr>
        <w:ind w:right="100" w:firstLine="549"/>
        <w:spacing w:after="0" w:line="266" w:lineRule="auto"/>
        <w:rPr>
          <w:sz w:val="20"/>
          <w:szCs w:val="20"/>
          <w:color w:val="auto"/>
        </w:rPr>
      </w:pPr>
      <w:r>
        <w:rPr>
          <w:rFonts w:ascii="Times New Roman" w:cs="Times New Roman" w:eastAsia="Times New Roman" w:hAnsi="Times New Roman"/>
          <w:sz w:val="15"/>
          <w:szCs w:val="15"/>
          <w:color w:val="auto"/>
        </w:rPr>
        <w:t>Sales of our common stock, if any, under this prospectus supplement will be made by any method permitted that is deemed an “at the market offering” as defined in Rule 415 under the Securities Act of 1933, as amended (the “Securities Act”). The Agents are not required to sell any specific number or dollar amount of securities, but the Agents have agreed to act as sales agents using their commercially reasonable efforts consistent with their normal sales and trading practices. There is no arrangement for funds to be received in any escrow, trust or similar arrangement.</w:t>
      </w:r>
    </w:p>
    <w:p>
      <w:pPr>
        <w:spacing w:after="0" w:line="151" w:lineRule="exact"/>
        <w:rPr>
          <w:sz w:val="20"/>
          <w:szCs w:val="20"/>
          <w:color w:val="auto"/>
        </w:rPr>
      </w:pPr>
    </w:p>
    <w:p>
      <w:pPr>
        <w:ind w:right="80" w:firstLine="549"/>
        <w:spacing w:after="0" w:line="266" w:lineRule="auto"/>
        <w:rPr>
          <w:sz w:val="20"/>
          <w:szCs w:val="20"/>
          <w:color w:val="auto"/>
        </w:rPr>
      </w:pPr>
      <w:r>
        <w:rPr>
          <w:rFonts w:ascii="Times New Roman" w:cs="Times New Roman" w:eastAsia="Times New Roman" w:hAnsi="Times New Roman"/>
          <w:sz w:val="15"/>
          <w:szCs w:val="15"/>
          <w:color w:val="auto"/>
        </w:rPr>
        <w:t>The Agents will be entitled to a commission up to 3.0% of the gross offering proceeds of the shares of our common stock sold pursuant to the Sales Agreement. In connection with the sale of the common stock on our behalf, each Agent will be deemed to be an “underwriter” within the meaning of the Securities Act and the compensation of the Agents will be deemed to be underwriting commissions or discounts. We have also agreed to provide indemnification and contribution to the Agents with respect to certain liabilities, including liabilities under the Securities Act or the Securities Exchange Act of 1934, as amended (the “Exchange Act”).</w:t>
      </w:r>
    </w:p>
    <w:p>
      <w:pPr>
        <w:spacing w:after="0" w:line="151" w:lineRule="exact"/>
        <w:rPr>
          <w:sz w:val="20"/>
          <w:szCs w:val="20"/>
          <w:color w:val="auto"/>
        </w:rPr>
      </w:pPr>
    </w:p>
    <w:p>
      <w:pPr>
        <w:ind w:right="340" w:firstLine="549"/>
        <w:spacing w:after="0" w:line="290" w:lineRule="auto"/>
        <w:rPr>
          <w:sz w:val="20"/>
          <w:szCs w:val="20"/>
          <w:color w:val="auto"/>
        </w:rPr>
      </w:pPr>
      <w:r>
        <w:rPr>
          <w:rFonts w:ascii="Times New Roman" w:cs="Times New Roman" w:eastAsia="Times New Roman" w:hAnsi="Times New Roman"/>
          <w:sz w:val="15"/>
          <w:szCs w:val="15"/>
          <w:color w:val="auto"/>
        </w:rPr>
        <w:t>Our common stock is listed on The Nasdaq Capital Market (“Nasdaq”) under the symbol “SERV.” On May 5, 2026, the last reported sale price on Nasdaq of our common stock was $9.14 per share.</w:t>
      </w:r>
    </w:p>
    <w:p>
      <w:pPr>
        <w:spacing w:after="0" w:line="129" w:lineRule="exact"/>
        <w:rPr>
          <w:sz w:val="20"/>
          <w:szCs w:val="20"/>
          <w:color w:val="auto"/>
        </w:rPr>
      </w:pPr>
    </w:p>
    <w:p>
      <w:pPr>
        <w:ind w:right="440" w:firstLine="549"/>
        <w:spacing w:after="0" w:line="295" w:lineRule="auto"/>
        <w:rPr>
          <w:sz w:val="20"/>
          <w:szCs w:val="20"/>
          <w:color w:val="auto"/>
        </w:rPr>
      </w:pPr>
      <w:r>
        <w:rPr>
          <w:rFonts w:ascii="Times New Roman" w:cs="Times New Roman" w:eastAsia="Times New Roman" w:hAnsi="Times New Roman"/>
          <w:sz w:val="15"/>
          <w:szCs w:val="15"/>
          <w:b w:val="1"/>
          <w:bCs w:val="1"/>
          <w:color w:val="auto"/>
        </w:rPr>
        <w:t>Investing in our common stock involves risks. See “</w:t>
      </w:r>
      <w:r>
        <w:rPr>
          <w:rFonts w:ascii="Times New Roman" w:cs="Times New Roman" w:eastAsia="Times New Roman" w:hAnsi="Times New Roman"/>
          <w:sz w:val="15"/>
          <w:szCs w:val="15"/>
          <w:b w:val="1"/>
          <w:bCs w:val="1"/>
          <w:i w:val="1"/>
          <w:iCs w:val="1"/>
          <w:color w:val="auto"/>
        </w:rPr>
        <w:t>Risk Factors</w:t>
      </w:r>
      <w:r>
        <w:rPr>
          <w:rFonts w:ascii="Times New Roman" w:cs="Times New Roman" w:eastAsia="Times New Roman" w:hAnsi="Times New Roman"/>
          <w:sz w:val="15"/>
          <w:szCs w:val="15"/>
          <w:b w:val="1"/>
          <w:bCs w:val="1"/>
          <w:color w:val="auto"/>
        </w:rPr>
        <w:t>” beginning on page S-4 of this prospectus supplement and under similar headings in the other documents that are incorporated by reference into this prospectus supplement and the accompanying base prospectus.</w:t>
      </w:r>
    </w:p>
    <w:p>
      <w:pPr>
        <w:spacing w:after="0" w:line="125" w:lineRule="exact"/>
        <w:rPr>
          <w:sz w:val="20"/>
          <w:szCs w:val="20"/>
          <w:color w:val="auto"/>
        </w:rPr>
      </w:pPr>
    </w:p>
    <w:p>
      <w:pPr>
        <w:ind w:right="860" w:firstLine="549"/>
        <w:spacing w:after="0" w:line="295"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220" w:type="dxa"/>
            <w:vAlign w:val="bottom"/>
          </w:tcPr>
          <w:p>
            <w:pPr>
              <w:ind w:left="1280"/>
              <w:spacing w:after="0"/>
              <w:rPr>
                <w:sz w:val="20"/>
                <w:szCs w:val="20"/>
                <w:color w:val="auto"/>
              </w:rPr>
            </w:pPr>
            <w:r>
              <w:rPr>
                <w:rFonts w:ascii="Times New Roman" w:cs="Times New Roman" w:eastAsia="Times New Roman" w:hAnsi="Times New Roman"/>
                <w:sz w:val="21"/>
                <w:szCs w:val="21"/>
                <w:b w:val="1"/>
                <w:bCs w:val="1"/>
                <w:color w:val="auto"/>
              </w:rPr>
              <w:t>Evercore ISI</w:t>
            </w:r>
          </w:p>
        </w:tc>
        <w:tc>
          <w:tcPr>
            <w:tcW w:w="3560" w:type="dxa"/>
            <w:vAlign w:val="bottom"/>
          </w:tcPr>
          <w:p>
            <w:pPr>
              <w:jc w:val="right"/>
              <w:ind w:right="8"/>
              <w:spacing w:after="0"/>
              <w:rPr>
                <w:sz w:val="20"/>
                <w:szCs w:val="20"/>
                <w:color w:val="auto"/>
              </w:rPr>
            </w:pPr>
            <w:r>
              <w:rPr>
                <w:rFonts w:ascii="Times New Roman" w:cs="Times New Roman" w:eastAsia="Times New Roman" w:hAnsi="Times New Roman"/>
                <w:sz w:val="21"/>
                <w:szCs w:val="21"/>
                <w:b w:val="1"/>
                <w:bCs w:val="1"/>
                <w:color w:val="auto"/>
              </w:rPr>
              <w:t>Guggenheim Securities</w:t>
            </w:r>
          </w:p>
        </w:tc>
        <w:tc>
          <w:tcPr>
            <w:tcW w:w="4480" w:type="dxa"/>
            <w:vAlign w:val="bottom"/>
          </w:tcPr>
          <w:p>
            <w:pPr>
              <w:jc w:val="right"/>
              <w:ind w:right="843"/>
              <w:spacing w:after="0"/>
              <w:rPr>
                <w:sz w:val="20"/>
                <w:szCs w:val="20"/>
                <w:color w:val="auto"/>
              </w:rPr>
            </w:pPr>
            <w:r>
              <w:rPr>
                <w:rFonts w:ascii="Times New Roman" w:cs="Times New Roman" w:eastAsia="Times New Roman" w:hAnsi="Times New Roman"/>
                <w:sz w:val="21"/>
                <w:szCs w:val="21"/>
                <w:b w:val="1"/>
                <w:bCs w:val="1"/>
                <w:color w:val="auto"/>
              </w:rPr>
              <w:t>Oppenheimer &amp; Co.</w:t>
            </w:r>
          </w:p>
        </w:tc>
      </w:tr>
      <w:tr>
        <w:trPr>
          <w:trHeight w:val="435"/>
        </w:trPr>
        <w:tc>
          <w:tcPr>
            <w:tcW w:w="6780" w:type="dxa"/>
            <w:vAlign w:val="bottom"/>
            <w:gridSpan w:val="2"/>
          </w:tcPr>
          <w:p>
            <w:pPr>
              <w:jc w:val="right"/>
              <w:ind w:right="2048"/>
              <w:spacing w:after="0"/>
              <w:rPr>
                <w:sz w:val="20"/>
                <w:szCs w:val="20"/>
                <w:color w:val="auto"/>
              </w:rPr>
            </w:pPr>
            <w:r>
              <w:rPr>
                <w:rFonts w:ascii="Times New Roman" w:cs="Times New Roman" w:eastAsia="Times New Roman" w:hAnsi="Times New Roman"/>
                <w:sz w:val="21"/>
                <w:szCs w:val="21"/>
                <w:b w:val="1"/>
                <w:bCs w:val="1"/>
                <w:color w:val="auto"/>
              </w:rPr>
              <w:t>Northland Capital Markets</w:t>
            </w:r>
          </w:p>
        </w:tc>
        <w:tc>
          <w:tcPr>
            <w:tcW w:w="4480" w:type="dxa"/>
            <w:vAlign w:val="bottom"/>
          </w:tcPr>
          <w:p>
            <w:pPr>
              <w:jc w:val="right"/>
              <w:ind w:right="2383"/>
              <w:spacing w:after="0"/>
              <w:rPr>
                <w:sz w:val="20"/>
                <w:szCs w:val="20"/>
                <w:color w:val="auto"/>
              </w:rPr>
            </w:pPr>
            <w:r>
              <w:rPr>
                <w:rFonts w:ascii="Times New Roman" w:cs="Times New Roman" w:eastAsia="Times New Roman" w:hAnsi="Times New Roman"/>
                <w:sz w:val="21"/>
                <w:szCs w:val="21"/>
                <w:b w:val="1"/>
                <w:bCs w:val="1"/>
                <w:color w:val="auto"/>
              </w:rPr>
              <w:t>Wedbush Securities</w:t>
            </w:r>
          </w:p>
        </w:tc>
      </w:tr>
      <w:tr>
        <w:trPr>
          <w:trHeight w:val="360"/>
        </w:trPr>
        <w:tc>
          <w:tcPr>
            <w:tcW w:w="3220" w:type="dxa"/>
            <w:vAlign w:val="bottom"/>
          </w:tcPr>
          <w:p>
            <w:pPr>
              <w:spacing w:after="0"/>
              <w:rPr>
                <w:sz w:val="24"/>
                <w:szCs w:val="24"/>
                <w:color w:val="auto"/>
              </w:rPr>
            </w:pPr>
          </w:p>
        </w:tc>
        <w:tc>
          <w:tcPr>
            <w:tcW w:w="3560" w:type="dxa"/>
            <w:vAlign w:val="bottom"/>
          </w:tcPr>
          <w:p>
            <w:pPr>
              <w:jc w:val="right"/>
              <w:ind w:right="8"/>
              <w:spacing w:after="0"/>
              <w:rPr>
                <w:sz w:val="20"/>
                <w:szCs w:val="20"/>
                <w:color w:val="auto"/>
              </w:rPr>
            </w:pPr>
            <w:r>
              <w:rPr>
                <w:rFonts w:ascii="Times New Roman" w:cs="Times New Roman" w:eastAsia="Times New Roman" w:hAnsi="Times New Roman"/>
                <w:sz w:val="15"/>
                <w:szCs w:val="15"/>
                <w:b w:val="1"/>
                <w:bCs w:val="1"/>
                <w:color w:val="auto"/>
              </w:rPr>
              <w:t>The date of this prospectus supplement is</w:t>
            </w:r>
          </w:p>
        </w:tc>
        <w:tc>
          <w:tcPr>
            <w:tcW w:w="4480" w:type="dxa"/>
            <w:vAlign w:val="bottom"/>
          </w:tcPr>
          <w:p>
            <w:pPr>
              <w:jc w:val="right"/>
              <w:ind w:right="3903"/>
              <w:spacing w:after="0"/>
              <w:rPr>
                <w:sz w:val="20"/>
                <w:szCs w:val="20"/>
                <w:color w:val="auto"/>
              </w:rPr>
            </w:pPr>
            <w:r>
              <w:rPr>
                <w:rFonts w:ascii="Times New Roman" w:cs="Times New Roman" w:eastAsia="Times New Roman" w:hAnsi="Times New Roman"/>
                <w:sz w:val="15"/>
                <w:szCs w:val="15"/>
                <w:b w:val="1"/>
                <w:bCs w:val="1"/>
                <w:color w:val="auto"/>
              </w:rPr>
              <w:t>, 2026</w:t>
            </w:r>
          </w:p>
        </w:tc>
      </w:tr>
      <w:tr>
        <w:trPr>
          <w:trHeight w:val="575"/>
        </w:trPr>
        <w:tc>
          <w:tcPr>
            <w:tcW w:w="32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5" w:right="31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20" w:type="dxa"/>
            <w:vAlign w:val="bottom"/>
            <w:gridSpan w:val="2"/>
          </w:tcPr>
          <w:p>
            <w:pPr>
              <w:ind w:left="5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560" w:type="dxa"/>
            <w:vAlign w:val="bottom"/>
          </w:tcPr>
          <w:p>
            <w:pPr>
              <w:spacing w:after="0"/>
              <w:rPr>
                <w:sz w:val="17"/>
                <w:szCs w:val="17"/>
                <w:color w:val="auto"/>
              </w:rPr>
            </w:pPr>
          </w:p>
        </w:tc>
      </w:tr>
      <w:tr>
        <w:trPr>
          <w:trHeight w:val="369"/>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49"/>
        </w:trPr>
        <w:tc>
          <w:tcPr>
            <w:tcW w:w="10700" w:type="dxa"/>
            <w:vAlign w:val="bottom"/>
            <w:gridSpan w:val="1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5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5"/>
                <w:szCs w:val="15"/>
                <w:color w:val="auto"/>
              </w:rPr>
              <w:t>S-ii</w:t>
            </w:r>
          </w:p>
        </w:tc>
      </w:tr>
      <w:tr>
        <w:trPr>
          <w:trHeight w:val="34"/>
        </w:trPr>
        <w:tc>
          <w:tcPr>
            <w:tcW w:w="6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r>
        <w:trPr>
          <w:trHeight w:val="149"/>
        </w:trPr>
        <w:tc>
          <w:tcPr>
            <w:tcW w:w="1070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WHERE YOU CAN FIND MORE INFORMATION</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rPr>
              <w:t>S-iii</w:t>
            </w:r>
          </w:p>
        </w:tc>
      </w:tr>
      <w:tr>
        <w:trPr>
          <w:trHeight w:val="27"/>
        </w:trPr>
        <w:tc>
          <w:tcPr>
            <w:tcW w:w="6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1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0"/>
        </w:trPr>
        <w:tc>
          <w:tcPr>
            <w:tcW w:w="10700" w:type="dxa"/>
            <w:vAlign w:val="bottom"/>
            <w:gridSpan w:val="1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INCORPORATION OF CERTAIN DOCUMENTS BY REFERENCE</w:t>
            </w:r>
          </w:p>
        </w:tc>
        <w:tc>
          <w:tcPr>
            <w:tcW w:w="5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rPr>
              <w:t>S-iv</w:t>
            </w:r>
          </w:p>
        </w:tc>
      </w:tr>
      <w:tr>
        <w:trPr>
          <w:trHeight w:val="156"/>
        </w:trPr>
        <w:tc>
          <w:tcPr>
            <w:tcW w:w="1760" w:type="dxa"/>
            <w:vAlign w:val="bottom"/>
            <w:tcBorders>
              <w:top w:val="single" w:sz="8" w:color="0000EE"/>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5"/>
                <w:szCs w:val="15"/>
                <w:color w:val="0000EE"/>
                <w:w w:val="99"/>
              </w:rPr>
              <w:t>PROSPECTUS SUMMARY</w:t>
            </w:r>
          </w:p>
        </w:tc>
        <w:tc>
          <w:tcPr>
            <w:tcW w:w="2520" w:type="dxa"/>
            <w:vAlign w:val="bottom"/>
            <w:tcBorders>
              <w:top w:val="single" w:sz="8" w:color="0000EE"/>
            </w:tcBorders>
            <w:gridSpan w:val="3"/>
          </w:tcPr>
          <w:p>
            <w:pPr>
              <w:spacing w:after="0"/>
              <w:rPr>
                <w:sz w:val="13"/>
                <w:szCs w:val="13"/>
                <w:color w:val="auto"/>
              </w:rPr>
            </w:pPr>
          </w:p>
        </w:tc>
        <w:tc>
          <w:tcPr>
            <w:tcW w:w="6420" w:type="dxa"/>
            <w:vAlign w:val="bottom"/>
            <w:tcBorders>
              <w:top w:val="single" w:sz="8" w:color="CCEEFF"/>
            </w:tcBorders>
            <w:gridSpan w:val="2"/>
          </w:tcPr>
          <w:p>
            <w:pPr>
              <w:spacing w:after="0"/>
              <w:rPr>
                <w:sz w:val="13"/>
                <w:szCs w:val="13"/>
                <w:color w:val="auto"/>
              </w:rPr>
            </w:pPr>
          </w:p>
        </w:tc>
        <w:tc>
          <w:tcPr>
            <w:tcW w:w="56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w w:val="95"/>
              </w:rPr>
              <w:t>S-1</w:t>
            </w:r>
          </w:p>
        </w:tc>
      </w:tr>
      <w:tr>
        <w:trPr>
          <w:trHeight w:val="170"/>
        </w:trPr>
        <w:tc>
          <w:tcPr>
            <w:tcW w:w="1080" w:type="dxa"/>
            <w:vAlign w:val="bottom"/>
            <w:tcBorders>
              <w:bottom w:val="single" w:sz="8" w:color="0000EE"/>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9"/>
              </w:rPr>
              <w:t>THE OFFERING</w:t>
            </w:r>
          </w:p>
        </w:tc>
        <w:tc>
          <w:tcPr>
            <w:tcW w:w="9620" w:type="dxa"/>
            <w:vAlign w:val="bottom"/>
            <w:tcBorders>
              <w:bottom w:val="single" w:sz="8" w:color="CCEEFF"/>
            </w:tcBorders>
            <w:gridSpan w:val="10"/>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S-3</w:t>
            </w:r>
          </w:p>
        </w:tc>
      </w:tr>
      <w:tr>
        <w:trPr>
          <w:trHeight w:val="149"/>
        </w:trPr>
        <w:tc>
          <w:tcPr>
            <w:tcW w:w="1070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RISK FACTORS</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w w:val="95"/>
              </w:rPr>
              <w:t>S-4</w:t>
            </w:r>
          </w:p>
        </w:tc>
      </w:tr>
      <w:tr>
        <w:trPr>
          <w:trHeight w:val="27"/>
        </w:trPr>
        <w:tc>
          <w:tcPr>
            <w:tcW w:w="6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0"/>
        </w:trPr>
        <w:tc>
          <w:tcPr>
            <w:tcW w:w="4900" w:type="dxa"/>
            <w:vAlign w:val="bottom"/>
            <w:tcBorders>
              <w:bottom w:val="single" w:sz="8" w:color="0000EE"/>
            </w:tcBorders>
            <w:gridSpan w:val="13"/>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w w:val="99"/>
              </w:rPr>
              <w:t>CAUTIONARY NOTE REGARDING FORWARD-LOOKING STATEMENTS</w:t>
            </w:r>
          </w:p>
        </w:tc>
        <w:tc>
          <w:tcPr>
            <w:tcW w:w="58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S-8</w:t>
            </w:r>
          </w:p>
        </w:tc>
      </w:tr>
      <w:tr>
        <w:trPr>
          <w:trHeight w:val="156"/>
        </w:trPr>
        <w:tc>
          <w:tcPr>
            <w:tcW w:w="134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5"/>
                <w:szCs w:val="15"/>
                <w:color w:val="0000EE"/>
              </w:rPr>
              <w:t>USE OF PROCEEDS</w:t>
            </w:r>
          </w:p>
        </w:tc>
        <w:tc>
          <w:tcPr>
            <w:tcW w:w="9360" w:type="dxa"/>
            <w:vAlign w:val="bottom"/>
            <w:gridSpan w:val="7"/>
          </w:tcPr>
          <w:p>
            <w:pPr>
              <w:spacing w:after="0"/>
              <w:rPr>
                <w:sz w:val="13"/>
                <w:szCs w:val="13"/>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w w:val="95"/>
              </w:rPr>
              <w:t>S-9</w:t>
            </w:r>
          </w:p>
        </w:tc>
      </w:tr>
      <w:tr>
        <w:trPr>
          <w:trHeight w:val="156"/>
        </w:trPr>
        <w:tc>
          <w:tcPr>
            <w:tcW w:w="10700" w:type="dxa"/>
            <w:vAlign w:val="bottom"/>
            <w:gridSpan w:val="1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DILUTION</w:t>
            </w:r>
          </w:p>
        </w:tc>
        <w:tc>
          <w:tcPr>
            <w:tcW w:w="5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S-10</w:t>
            </w:r>
          </w:p>
        </w:tc>
      </w:tr>
      <w:tr>
        <w:trPr>
          <w:trHeight w:val="34"/>
        </w:trPr>
        <w:tc>
          <w:tcPr>
            <w:tcW w:w="6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r>
        <w:trPr>
          <w:trHeight w:val="149"/>
        </w:trPr>
        <w:tc>
          <w:tcPr>
            <w:tcW w:w="10700" w:type="dxa"/>
            <w:vAlign w:val="bottom"/>
            <w:gridSpan w:val="14"/>
          </w:tcPr>
          <w:p>
            <w:pPr>
              <w:spacing w:after="0" w:line="149" w:lineRule="exact"/>
              <w:rPr>
                <w:sz w:val="20"/>
                <w:szCs w:val="20"/>
                <w:color w:val="auto"/>
              </w:rPr>
            </w:pPr>
            <w:r>
              <w:rPr>
                <w:rFonts w:ascii="Times New Roman" w:cs="Times New Roman" w:eastAsia="Times New Roman" w:hAnsi="Times New Roman"/>
                <w:sz w:val="15"/>
                <w:szCs w:val="15"/>
                <w:color w:val="0000EE"/>
              </w:rPr>
              <w:t>DIVIDEND POLICY</w:t>
            </w: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color w:val="auto"/>
                <w:w w:val="98"/>
              </w:rPr>
              <w:t>S-12</w:t>
            </w:r>
          </w:p>
        </w:tc>
      </w:tr>
      <w:tr>
        <w:trPr>
          <w:trHeight w:val="27"/>
        </w:trPr>
        <w:tc>
          <w:tcPr>
            <w:tcW w:w="6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0"/>
        </w:trPr>
        <w:tc>
          <w:tcPr>
            <w:tcW w:w="10700" w:type="dxa"/>
            <w:vAlign w:val="bottom"/>
            <w:gridSpan w:val="14"/>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PLAN OF DISTRIBUTION</w:t>
            </w:r>
          </w:p>
        </w:tc>
        <w:tc>
          <w:tcPr>
            <w:tcW w:w="5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S-13</w:t>
            </w:r>
          </w:p>
        </w:tc>
      </w:tr>
      <w:tr>
        <w:trPr>
          <w:trHeight w:val="156"/>
        </w:trPr>
        <w:tc>
          <w:tcPr>
            <w:tcW w:w="1720" w:type="dxa"/>
            <w:vAlign w:val="bottom"/>
            <w:tcBorders>
              <w:top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5"/>
                <w:szCs w:val="15"/>
                <w:color w:val="0000EE"/>
              </w:rPr>
              <w:t>LEGAL MATTERS</w:t>
            </w:r>
          </w:p>
        </w:tc>
        <w:tc>
          <w:tcPr>
            <w:tcW w:w="8980" w:type="dxa"/>
            <w:vAlign w:val="bottom"/>
            <w:tcBorders>
              <w:top w:val="single" w:sz="8" w:color="CCEEFF"/>
            </w:tcBorders>
            <w:gridSpan w:val="6"/>
          </w:tcPr>
          <w:p>
            <w:pPr>
              <w:spacing w:after="0"/>
              <w:rPr>
                <w:sz w:val="13"/>
                <w:szCs w:val="13"/>
                <w:color w:val="auto"/>
              </w:rPr>
            </w:pPr>
          </w:p>
        </w:tc>
        <w:tc>
          <w:tcPr>
            <w:tcW w:w="56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5"/>
                <w:szCs w:val="15"/>
                <w:color w:val="auto"/>
                <w:w w:val="98"/>
              </w:rPr>
              <w:t>S-14</w:t>
            </w:r>
          </w:p>
        </w:tc>
      </w:tr>
      <w:tr>
        <w:trPr>
          <w:trHeight w:val="156"/>
        </w:trPr>
        <w:tc>
          <w:tcPr>
            <w:tcW w:w="1220" w:type="dxa"/>
            <w:vAlign w:val="bottom"/>
            <w:tcBorders>
              <w:top w:val="single" w:sz="8" w:color="0000EE"/>
            </w:tcBorders>
            <w:gridSpan w:val="5"/>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EXPERTS</w:t>
            </w:r>
          </w:p>
        </w:tc>
        <w:tc>
          <w:tcPr>
            <w:tcW w:w="9480" w:type="dxa"/>
            <w:vAlign w:val="bottom"/>
            <w:gridSpan w:val="9"/>
            <w:shd w:val="clear" w:color="auto" w:fill="CCEEFF"/>
          </w:tcPr>
          <w:p>
            <w:pPr>
              <w:spacing w:after="0"/>
              <w:rPr>
                <w:sz w:val="13"/>
                <w:szCs w:val="13"/>
                <w:color w:val="auto"/>
              </w:rPr>
            </w:pPr>
          </w:p>
        </w:tc>
        <w:tc>
          <w:tcPr>
            <w:tcW w:w="56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S-15</w:t>
            </w:r>
          </w:p>
        </w:tc>
      </w:tr>
      <w:tr>
        <w:trPr>
          <w:trHeight w:val="34"/>
        </w:trPr>
        <w:tc>
          <w:tcPr>
            <w:tcW w:w="64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5"/>
          <w:szCs w:val="15"/>
          <w:b w:val="1"/>
          <w:bCs w:val="1"/>
          <w:color w:val="auto"/>
        </w:rPr>
        <w:t>ABOUT THIS PROSPECTUS SUPPLEMENT</w:t>
      </w:r>
    </w:p>
    <w:p>
      <w:pPr>
        <w:spacing w:after="0" w:line="198" w:lineRule="exact"/>
        <w:rPr>
          <w:sz w:val="20"/>
          <w:szCs w:val="20"/>
          <w:color w:val="auto"/>
        </w:rPr>
      </w:pPr>
    </w:p>
    <w:p>
      <w:pPr>
        <w:ind w:right="80" w:firstLine="549"/>
        <w:spacing w:after="0" w:line="266" w:lineRule="auto"/>
        <w:rPr>
          <w:sz w:val="20"/>
          <w:szCs w:val="20"/>
          <w:color w:val="auto"/>
        </w:rPr>
      </w:pPr>
      <w:r>
        <w:rPr>
          <w:rFonts w:ascii="Times New Roman" w:cs="Times New Roman" w:eastAsia="Times New Roman" w:hAnsi="Times New Roman"/>
          <w:sz w:val="15"/>
          <w:szCs w:val="15"/>
          <w:color w:val="auto"/>
        </w:rPr>
        <w:t>This prospectus supplement is part of a registration statement on Form S-3 that we filed with the Securities and Exchange Commission (the “SEC”), using a “shelf” registration process. Under this prospectus supplement, we may offer shares of our common stock having an aggregate offering price of up to $150,000,000 from time to time at prices and on terms to be determined by market conditions at the time of offering. The $150,000,000 of shares of our common stock that may be sold under this prospectus supplement are included in the $300,000,000 of shares of our common stock that may be sold under the registration statement.</w:t>
      </w:r>
    </w:p>
    <w:p>
      <w:pPr>
        <w:spacing w:after="0" w:line="151"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Neither we nor the Agents have authorized any other party to provide you with different information other than the information contained in, or incorporated by reference into, this prospectus supplement, the accompanying base prospectus, or in any free writing prospectus prepared by or on behalf of us or to which we have referred you. Neither we nor the Agents take responsibility for, and neither we nor the Agents can provide assurance as to the reliability of, any other information that others may give you. If information in this prospectus supplement is inconsistent with the information in the accompanying base prospectus or the documents incorporated by reference in this prospectus supplement filed prior to the date of this prospectus supplement, you should rely on this prospectus supplement. However, if any statement in one of these documents is inconsistent with a statement in another document having a later date—for example, a document incorporated by reference in this prospectus supplement —the statement in the document having the later date modifies or supersedes the earlier statement as our business, financial condition, results of operations and prospects may have changed since the earlier dates.</w:t>
      </w:r>
    </w:p>
    <w:p>
      <w:pPr>
        <w:spacing w:after="0" w:line="157" w:lineRule="exact"/>
        <w:rPr>
          <w:sz w:val="20"/>
          <w:szCs w:val="20"/>
          <w:color w:val="auto"/>
        </w:rPr>
      </w:pPr>
    </w:p>
    <w:p>
      <w:pPr>
        <w:ind w:right="40" w:firstLine="549"/>
        <w:spacing w:after="0" w:line="263" w:lineRule="auto"/>
        <w:rPr>
          <w:sz w:val="20"/>
          <w:szCs w:val="20"/>
          <w:color w:val="auto"/>
        </w:rPr>
      </w:pPr>
      <w:r>
        <w:rPr>
          <w:rFonts w:ascii="Times New Roman" w:cs="Times New Roman" w:eastAsia="Times New Roman" w:hAnsi="Times New Roman"/>
          <w:sz w:val="15"/>
          <w:szCs w:val="15"/>
          <w:color w:val="auto"/>
        </w:rPr>
        <w:t>Before purchasing any securities, you should carefully read both this prospectus supplement, the accompanying base prospectus and any free writing prospectus, together with the additional information described under the heading “</w:t>
      </w:r>
      <w:r>
        <w:rPr>
          <w:rFonts w:ascii="Times New Roman" w:cs="Times New Roman" w:eastAsia="Times New Roman" w:hAnsi="Times New Roman"/>
          <w:sz w:val="15"/>
          <w:szCs w:val="15"/>
          <w:i w:val="1"/>
          <w:iCs w:val="1"/>
          <w:color w:val="auto"/>
        </w:rPr>
        <w:t>Incorporation of Certain Documents by Reference</w:t>
      </w:r>
      <w:r>
        <w:rPr>
          <w:rFonts w:ascii="Times New Roman" w:cs="Times New Roman" w:eastAsia="Times New Roman" w:hAnsi="Times New Roman"/>
          <w:sz w:val="15"/>
          <w:szCs w:val="15"/>
          <w:color w:val="auto"/>
        </w:rPr>
        <w:t>.” You should assume that the information contained in this prospectus supplement, the accompanying base prospectus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54" w:lineRule="exact"/>
        <w:rPr>
          <w:sz w:val="20"/>
          <w:szCs w:val="20"/>
          <w:color w:val="auto"/>
        </w:rPr>
      </w:pPr>
    </w:p>
    <w:p>
      <w:pPr>
        <w:ind w:right="100" w:firstLine="549"/>
        <w:spacing w:after="0" w:line="259" w:lineRule="auto"/>
        <w:rPr>
          <w:sz w:val="20"/>
          <w:szCs w:val="20"/>
          <w:color w:val="auto"/>
        </w:rPr>
      </w:pPr>
      <w:r>
        <w:rPr>
          <w:rFonts w:ascii="Times New Roman" w:cs="Times New Roman" w:eastAsia="Times New Roman" w:hAnsi="Times New Roman"/>
          <w:sz w:val="15"/>
          <w:szCs w:val="15"/>
          <w:color w:val="auto"/>
        </w:rPr>
        <w:t>This prospectus supplement and the accompanying base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heading “</w:t>
      </w:r>
      <w:r>
        <w:rPr>
          <w:rFonts w:ascii="Times New Roman" w:cs="Times New Roman" w:eastAsia="Times New Roman" w:hAnsi="Times New Roman"/>
          <w:sz w:val="15"/>
          <w:szCs w:val="15"/>
          <w:i w:val="1"/>
          <w:iCs w:val="1"/>
          <w:color w:val="auto"/>
        </w:rPr>
        <w:t>Where You Can Find More Information</w:t>
      </w:r>
      <w:r>
        <w:rPr>
          <w:rFonts w:ascii="Times New Roman" w:cs="Times New Roman" w:eastAsia="Times New Roman" w:hAnsi="Times New Roman"/>
          <w:sz w:val="15"/>
          <w:szCs w:val="15"/>
          <w:color w:val="auto"/>
        </w:rPr>
        <w:t>.” This prospectus supplement, the accompanying base prospectus or any free writing prospectus do not constitute an offer to sell or the solicitation of an offer to buy any securities other than the registered securities to which they relate. Neither we nor the Agents are making offers to sell any securities described in this prospectus supplement in any jurisdiction in which an offer or solicitation is not authorized or in which the person making such offer or solicitation is not qualified to do so or to anyone to whom it is unlawful to make an offer or solicitation. The distribution of this prospectus supplement and the offering of our common stock in certain jurisdictions may be restricted by law. Persons outside the United States who come into possession of this prospectus supplement must inform themselves about, and observe any restrictions relating to, the offering of our common stock and the distribution of this prospectus supplement outside the United States.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WHERE YOU CAN FIND MORE INFORMATION</w:t>
      </w:r>
    </w:p>
    <w:p>
      <w:pPr>
        <w:spacing w:after="0" w:line="198"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15"/>
          <w:szCs w:val="15"/>
          <w:color w:val="auto"/>
        </w:rPr>
        <w:t xml:space="preserve">This prospectus supplement and the accompanying base prospectus are part of the registration statement on Form S-3 we filed with the SEC under the Securities Act and do not contain all the information set forth or incorporated by reference in the registration statement. Whenever a reference is made in this prospectus supplement or the accompanying base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base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ind w:right="100" w:firstLine="549"/>
        <w:spacing w:after="0" w:line="265" w:lineRule="auto"/>
        <w:rPr>
          <w:sz w:val="20"/>
          <w:szCs w:val="20"/>
          <w:color w:val="auto"/>
        </w:rPr>
      </w:pPr>
      <w:r>
        <w:rPr>
          <w:rFonts w:ascii="Times New Roman" w:cs="Times New Roman" w:eastAsia="Times New Roman" w:hAnsi="Times New Roman"/>
          <w:sz w:val="15"/>
          <w:szCs w:val="15"/>
          <w:color w:val="auto"/>
        </w:rPr>
        <w:t xml:space="preserve">Our website address is </w:t>
      </w:r>
      <w:r>
        <w:rPr>
          <w:rFonts w:ascii="Times New Roman" w:cs="Times New Roman" w:eastAsia="Times New Roman" w:hAnsi="Times New Roman"/>
          <w:sz w:val="15"/>
          <w:szCs w:val="15"/>
          <w:i w:val="1"/>
          <w:iCs w:val="1"/>
          <w:color w:val="auto"/>
        </w:rPr>
        <w:t>www.serverobotics.com</w:t>
      </w:r>
      <w:r>
        <w:rPr>
          <w:rFonts w:ascii="Times New Roman" w:cs="Times New Roman" w:eastAsia="Times New Roman" w:hAnsi="Times New Roman"/>
          <w:sz w:val="15"/>
          <w:szCs w:val="15"/>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or any of our social media channels is not a part of, and is not incorporated into, this prospectus supplement.</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 OF CERTAIN DOCUMENTS BY REFERENCE</w:t>
      </w:r>
    </w:p>
    <w:p>
      <w:pPr>
        <w:spacing w:after="0" w:line="198"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This prospectus supplement incorporates by reference important business and financial information about our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statement contained herein or in any document incorporated or deemed to be incorporated by reference herein shall be deemed to be modified or superseded for purposes of this prospectus supplement to the extent that a statement contained in or omitted from this prospectus supplement or any accompanying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We incorporate by reference:</w:t>
      </w:r>
    </w:p>
    <w:p>
      <w:pPr>
        <w:spacing w:after="0" w:line="157" w:lineRule="exact"/>
        <w:rPr>
          <w:sz w:val="20"/>
          <w:szCs w:val="20"/>
          <w:color w:val="auto"/>
        </w:rPr>
      </w:pPr>
    </w:p>
    <w:p>
      <w:pPr>
        <w:ind w:left="820" w:hanging="279"/>
        <w:spacing w:after="0"/>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Annual Report on Form 10-K for the fiscal year ended December 31, 2025 filed with the SEC on </w:t>
      </w:r>
      <w:hyperlink r:id="rId63">
        <w:r>
          <w:rPr>
            <w:rFonts w:ascii="Times New Roman" w:cs="Times New Roman" w:eastAsia="Times New Roman" w:hAnsi="Times New Roman"/>
            <w:sz w:val="15"/>
            <w:szCs w:val="15"/>
            <w:u w:val="single" w:color="auto"/>
            <w:color w:val="0000EE"/>
          </w:rPr>
          <w:t>March 12, 2026</w:t>
        </w:r>
      </w:hyperlink>
      <w:r>
        <w:rPr>
          <w:rFonts w:ascii="Times New Roman" w:cs="Times New Roman" w:eastAsia="Times New Roman" w:hAnsi="Times New Roman"/>
          <w:sz w:val="15"/>
          <w:szCs w:val="15"/>
          <w:color w:val="auto"/>
        </w:rPr>
        <w:t>;</w:t>
      </w:r>
    </w:p>
    <w:p>
      <w:pPr>
        <w:spacing w:after="0" w:line="193" w:lineRule="exact"/>
        <w:rPr>
          <w:rFonts w:ascii="Times New Roman" w:cs="Times New Roman" w:eastAsia="Times New Roman" w:hAnsi="Times New Roman"/>
          <w:sz w:val="15"/>
          <w:szCs w:val="15"/>
          <w:color w:val="auto"/>
        </w:rPr>
      </w:pPr>
    </w:p>
    <w:p>
      <w:pPr>
        <w:ind w:left="820" w:hanging="279"/>
        <w:spacing w:after="0" w:line="290" w:lineRule="auto"/>
        <w:tabs>
          <w:tab w:leader="none" w:pos="820" w:val="left"/>
        </w:tabs>
        <w:numPr>
          <w:ilvl w:val="0"/>
          <w:numId w:val="27"/>
        </w:numPr>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 xml:space="preserve">the information specifically incorporated by reference into our Annual Report on Form 10-K from our Definitive Proxy Statement on Schedule 14A, filed with the SEC on </w:t>
      </w:r>
      <w:hyperlink r:id="rId50">
        <w:r>
          <w:rPr>
            <w:rFonts w:ascii="Times New Roman" w:cs="Times New Roman" w:eastAsia="Times New Roman" w:hAnsi="Times New Roman"/>
            <w:sz w:val="15"/>
            <w:szCs w:val="15"/>
            <w:u w:val="single" w:color="auto"/>
            <w:color w:val="0000EE"/>
          </w:rPr>
          <w:t>April 24, 2026;</w:t>
        </w:r>
      </w:hyperlink>
    </w:p>
    <w:p>
      <w:pPr>
        <w:spacing w:after="0" w:line="132" w:lineRule="exact"/>
        <w:rPr>
          <w:rFonts w:ascii="Times New Roman" w:cs="Times New Roman" w:eastAsia="Times New Roman" w:hAnsi="Times New Roman"/>
          <w:sz w:val="15"/>
          <w:szCs w:val="15"/>
          <w:u w:val="single" w:color="auto"/>
          <w:color w:val="0000EE"/>
        </w:rPr>
      </w:pPr>
    </w:p>
    <w:p>
      <w:pPr>
        <w:ind w:left="820" w:hanging="279"/>
        <w:spacing w:after="0"/>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Quarterly Report on Form 10-Q for the quarter ended March 31, 2026 filed with the SEC on </w:t>
      </w:r>
      <w:hyperlink r:id="rId51">
        <w:r>
          <w:rPr>
            <w:rFonts w:ascii="Times New Roman" w:cs="Times New Roman" w:eastAsia="Times New Roman" w:hAnsi="Times New Roman"/>
            <w:sz w:val="15"/>
            <w:szCs w:val="15"/>
            <w:u w:val="single" w:color="auto"/>
            <w:color w:val="0000EE"/>
          </w:rPr>
          <w:t>May 7, 2026</w:t>
        </w:r>
      </w:hyperlink>
      <w:r>
        <w:rPr>
          <w:rFonts w:ascii="Times New Roman" w:cs="Times New Roman" w:eastAsia="Times New Roman" w:hAnsi="Times New Roman"/>
          <w:sz w:val="15"/>
          <w:szCs w:val="15"/>
          <w:color w:val="auto"/>
        </w:rPr>
        <w:t>;</w:t>
      </w:r>
    </w:p>
    <w:p>
      <w:pPr>
        <w:spacing w:after="0" w:line="193" w:lineRule="exact"/>
        <w:rPr>
          <w:rFonts w:ascii="Times New Roman" w:cs="Times New Roman" w:eastAsia="Times New Roman" w:hAnsi="Times New Roman"/>
          <w:sz w:val="15"/>
          <w:szCs w:val="15"/>
          <w:color w:val="auto"/>
        </w:rPr>
      </w:pPr>
    </w:p>
    <w:p>
      <w:pPr>
        <w:ind w:left="820" w:right="100" w:hanging="279"/>
        <w:spacing w:after="0" w:line="290" w:lineRule="auto"/>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our Current Reports on Form 8-K filed with the SEC on </w:t>
      </w:r>
      <w:hyperlink r:id="rId52">
        <w:r>
          <w:rPr>
            <w:rFonts w:ascii="Times New Roman" w:cs="Times New Roman" w:eastAsia="Times New Roman" w:hAnsi="Times New Roman"/>
            <w:sz w:val="15"/>
            <w:szCs w:val="15"/>
            <w:u w:val="single" w:color="auto"/>
            <w:color w:val="0000EE"/>
          </w:rPr>
          <w:t>January 21, 2026</w:t>
        </w:r>
      </w:hyperlink>
      <w:r>
        <w:rPr>
          <w:rFonts w:ascii="Times New Roman" w:cs="Times New Roman" w:eastAsia="Times New Roman" w:hAnsi="Times New Roman"/>
          <w:sz w:val="15"/>
          <w:szCs w:val="15"/>
          <w:color w:val="auto"/>
        </w:rPr>
        <w:t xml:space="preserve">, </w:t>
      </w:r>
      <w:hyperlink r:id="rId53">
        <w:r>
          <w:rPr>
            <w:rFonts w:ascii="Times New Roman" w:cs="Times New Roman" w:eastAsia="Times New Roman" w:hAnsi="Times New Roman"/>
            <w:sz w:val="15"/>
            <w:szCs w:val="15"/>
            <w:u w:val="single" w:color="auto"/>
            <w:color w:val="0000EE"/>
          </w:rPr>
          <w:t>January 29, 2026</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(as amended </w:t>
      </w:r>
      <w:hyperlink r:id="rId54">
        <w:r>
          <w:rPr>
            <w:rFonts w:ascii="Times New Roman" w:cs="Times New Roman" w:eastAsia="Times New Roman" w:hAnsi="Times New Roman"/>
            <w:sz w:val="15"/>
            <w:szCs w:val="15"/>
            <w:u w:val="single" w:color="auto"/>
            <w:color w:val="0000EE"/>
          </w:rPr>
          <w:t>April 14, 2026</w:t>
        </w:r>
      </w:hyperlink>
      <w:r>
        <w:rPr>
          <w:rFonts w:ascii="Times New Roman" w:cs="Times New Roman" w:eastAsia="Times New Roman" w:hAnsi="Times New Roman"/>
          <w:sz w:val="15"/>
          <w:szCs w:val="15"/>
          <w:color w:val="auto"/>
        </w:rPr>
        <w:t xml:space="preserve">), </w:t>
      </w:r>
      <w:hyperlink r:id="rId55">
        <w:r>
          <w:rPr>
            <w:rFonts w:ascii="Times New Roman" w:cs="Times New Roman" w:eastAsia="Times New Roman" w:hAnsi="Times New Roman"/>
            <w:sz w:val="15"/>
            <w:szCs w:val="15"/>
            <w:u w:val="single" w:color="auto"/>
            <w:color w:val="0000EE"/>
          </w:rPr>
          <w:t>February 20, 2026</w:t>
        </w:r>
      </w:hyperlink>
      <w:r>
        <w:rPr>
          <w:rFonts w:ascii="Times New Roman" w:cs="Times New Roman" w:eastAsia="Times New Roman" w:hAnsi="Times New Roman"/>
          <w:sz w:val="15"/>
          <w:szCs w:val="15"/>
          <w:color w:val="auto"/>
        </w:rPr>
        <w:t xml:space="preserve">, and </w:t>
      </w:r>
      <w:hyperlink r:id="rId56">
        <w:r>
          <w:rPr>
            <w:rFonts w:ascii="Times New Roman" w:cs="Times New Roman" w:eastAsia="Times New Roman" w:hAnsi="Times New Roman"/>
            <w:sz w:val="15"/>
            <w:szCs w:val="15"/>
            <w:u w:val="single" w:color="auto"/>
            <w:color w:val="0000EE"/>
          </w:rPr>
          <w:t>May 11, 2026</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(in each case, except for information contained therein which is furnished rather than filed); and</w:t>
      </w:r>
    </w:p>
    <w:p>
      <w:pPr>
        <w:spacing w:after="0" w:line="132" w:lineRule="exact"/>
        <w:rPr>
          <w:rFonts w:ascii="Times New Roman" w:cs="Times New Roman" w:eastAsia="Times New Roman" w:hAnsi="Times New Roman"/>
          <w:sz w:val="15"/>
          <w:szCs w:val="15"/>
          <w:color w:val="auto"/>
        </w:rPr>
      </w:pPr>
    </w:p>
    <w:p>
      <w:pPr>
        <w:ind w:left="820" w:right="700" w:hanging="279"/>
        <w:spacing w:after="0" w:line="290" w:lineRule="auto"/>
        <w:tabs>
          <w:tab w:leader="none" w:pos="8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description of our common stock contained in </w:t>
      </w:r>
      <w:hyperlink r:id="rId64">
        <w:r>
          <w:rPr>
            <w:rFonts w:ascii="Times New Roman" w:cs="Times New Roman" w:eastAsia="Times New Roman" w:hAnsi="Times New Roman"/>
            <w:sz w:val="15"/>
            <w:szCs w:val="15"/>
            <w:u w:val="single" w:color="auto"/>
            <w:color w:val="0000EE"/>
          </w:rPr>
          <w:t>Exhibit 4.8</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 xml:space="preserve">to the Annual Report on </w:t>
      </w:r>
      <w:hyperlink r:id="rId57">
        <w:r>
          <w:rPr>
            <w:rFonts w:ascii="Times New Roman" w:cs="Times New Roman" w:eastAsia="Times New Roman" w:hAnsi="Times New Roman"/>
            <w:sz w:val="15"/>
            <w:szCs w:val="15"/>
            <w:u w:val="single" w:color="auto"/>
            <w:color w:val="0000EE"/>
          </w:rPr>
          <w:t>Form 10-K</w:t>
        </w:r>
        <w:r>
          <w:rPr>
            <w:rFonts w:ascii="Times New Roman" w:cs="Times New Roman" w:eastAsia="Times New Roman" w:hAnsi="Times New Roman"/>
            <w:sz w:val="15"/>
            <w:szCs w:val="15"/>
            <w:u w:val="single" w:color="auto"/>
            <w:color w:val="auto"/>
          </w:rPr>
          <w:t xml:space="preserve"> </w:t>
        </w:r>
      </w:hyperlink>
      <w:r>
        <w:rPr>
          <w:rFonts w:ascii="Times New Roman" w:cs="Times New Roman" w:eastAsia="Times New Roman" w:hAnsi="Times New Roman"/>
          <w:sz w:val="15"/>
          <w:szCs w:val="15"/>
          <w:color w:val="auto"/>
        </w:rPr>
        <w:t>for the year ended December 31, 2023 filed with the SEC on February 29, 2024, and including any other amendments or reports filed for the purpose of updating such description.</w:t>
      </w:r>
    </w:p>
    <w:p>
      <w:pPr>
        <w:spacing w:after="0" w:line="133" w:lineRule="exact"/>
        <w:rPr>
          <w:rFonts w:ascii="Times New Roman" w:cs="Times New Roman" w:eastAsia="Times New Roman" w:hAnsi="Times New Roman"/>
          <w:sz w:val="15"/>
          <w:szCs w:val="15"/>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We also incorporate by reference into this prospectus supplement any further filings we make with the SEC under Sections 13(a), 13(c), 14 or 15(d) of the Exchange Act (other than portions of those made pursuant to Item 2.02 or Item 7.01 of Form 8-K or other information “furnished” and not filed with the SEC), including all filings filed after the date hereof and prior to the completion of an offering of securities under this prospectus supplement.</w:t>
      </w:r>
    </w:p>
    <w:p>
      <w:pPr>
        <w:spacing w:after="0" w:line="146" w:lineRule="exact"/>
        <w:rPr>
          <w:rFonts w:ascii="Times New Roman" w:cs="Times New Roman" w:eastAsia="Times New Roman" w:hAnsi="Times New Roman"/>
          <w:sz w:val="15"/>
          <w:szCs w:val="15"/>
          <w:color w:val="auto"/>
        </w:rPr>
      </w:pPr>
    </w:p>
    <w:p>
      <w:pPr>
        <w:ind w:right="20" w:firstLine="549"/>
        <w:spacing w:after="0" w:line="261" w:lineRule="auto"/>
        <w:rPr>
          <w:sz w:val="20"/>
          <w:szCs w:val="20"/>
          <w:color w:val="auto"/>
        </w:rPr>
      </w:pPr>
      <w:r>
        <w:rPr>
          <w:rFonts w:ascii="Times New Roman" w:cs="Times New Roman" w:eastAsia="Times New Roman" w:hAnsi="Times New Roman"/>
          <w:sz w:val="15"/>
          <w:szCs w:val="15"/>
          <w:color w:val="auto"/>
        </w:rPr>
        <w:t xml:space="preserve">Our filings with the SEC, including Annual Reports on Form 10-K, Quarterly Reports on Form 10-Q, Current Reports on Form 8-K and amendments to those reports, are available free of charge on our website at </w:t>
      </w:r>
      <w:r>
        <w:rPr>
          <w:rFonts w:ascii="Times New Roman" w:cs="Times New Roman" w:eastAsia="Times New Roman" w:hAnsi="Times New Roman"/>
          <w:sz w:val="15"/>
          <w:szCs w:val="15"/>
          <w:i w:val="1"/>
          <w:iCs w:val="1"/>
          <w:color w:val="auto"/>
        </w:rPr>
        <w:t>investors.serverobotics.com</w:t>
      </w:r>
      <w:r>
        <w:rPr>
          <w:rFonts w:ascii="Times New Roman" w:cs="Times New Roman" w:eastAsia="Times New Roman" w:hAnsi="Times New Roman"/>
          <w:sz w:val="15"/>
          <w:szCs w:val="15"/>
          <w:color w:val="auto"/>
        </w:rPr>
        <w:t xml:space="preserve"> as soon as reasonably practicable after they are filed with, or furnished to, the SEC. Information contained on, or that can be accessed through, our website is not a part of this prospectus supplement. Our social media channels and our website and the information contained on that site, or connected to that site, are not incorporated into and are not a part of this prospectus supplement.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supplement on the written or oral request of that person made to:</w:t>
      </w:r>
    </w:p>
    <w:p>
      <w:pPr>
        <w:spacing w:after="0" w:line="157"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Serve Robotics Inc.</w:t>
      </w:r>
    </w:p>
    <w:p>
      <w:pPr>
        <w:spacing w:after="0" w:line="25" w:lineRule="exact"/>
        <w:rPr>
          <w:rFonts w:ascii="Times New Roman" w:cs="Times New Roman" w:eastAsia="Times New Roman" w:hAnsi="Times New Roman"/>
          <w:sz w:val="15"/>
          <w:szCs w:val="15"/>
          <w:color w:val="auto"/>
        </w:rPr>
      </w:pPr>
    </w:p>
    <w:p>
      <w:pPr>
        <w:ind w:left="5440" w:hanging="263"/>
        <w:spacing w:after="0"/>
        <w:tabs>
          <w:tab w:leader="none" w:pos="54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Broadway</w:t>
      </w:r>
    </w:p>
    <w:p>
      <w:pPr>
        <w:spacing w:after="0" w:line="10" w:lineRule="exact"/>
        <w:rPr>
          <w:rFonts w:ascii="Times New Roman" w:cs="Times New Roman" w:eastAsia="Times New Roman" w:hAnsi="Times New Roman"/>
          <w:sz w:val="15"/>
          <w:szCs w:val="15"/>
          <w:color w:val="auto"/>
        </w:rPr>
      </w:pPr>
    </w:p>
    <w:p>
      <w:pPr>
        <w:ind w:left="46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Redwood City, California 94063</w:t>
      </w:r>
    </w:p>
    <w:p>
      <w:pPr>
        <w:spacing w:after="0" w:line="1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Attn: Brian Read, Chief Financial Officer</w:t>
      </w:r>
    </w:p>
    <w:p>
      <w:pPr>
        <w:spacing w:after="0" w:line="11"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5"/>
          <w:szCs w:val="15"/>
          <w:color w:val="auto"/>
        </w:rPr>
        <w:t>(818) 860-1352</w:t>
      </w:r>
    </w:p>
    <w:p>
      <w:pPr>
        <w:spacing w:after="0" w:line="354" w:lineRule="exact"/>
        <w:rPr>
          <w:rFonts w:ascii="Times New Roman" w:cs="Times New Roman" w:eastAsia="Times New Roman" w:hAnsi="Times New Roman"/>
          <w:sz w:val="15"/>
          <w:szCs w:val="15"/>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9372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51370" cy="5937250"/>
                    </a:xfrm>
                    <a:prstGeom prst="rect">
                      <a:avLst/>
                    </a:prstGeom>
                    <a:noFill/>
                  </pic:spPr>
                </pic:pic>
              </a:graphicData>
            </a:graphic>
          </wp:anchor>
        </w:drawing>
        <w:t>PROSPECTUS SUMMARY</w:t>
      </w:r>
    </w:p>
    <w:p>
      <w:pPr>
        <w:spacing w:after="0" w:line="194" w:lineRule="exact"/>
        <w:rPr>
          <w:sz w:val="20"/>
          <w:szCs w:val="20"/>
          <w:color w:val="auto"/>
        </w:rPr>
      </w:pPr>
    </w:p>
    <w:p>
      <w:pPr>
        <w:ind w:firstLine="550"/>
        <w:spacing w:after="0" w:line="268" w:lineRule="auto"/>
        <w:rPr>
          <w:sz w:val="20"/>
          <w:szCs w:val="20"/>
          <w:color w:val="auto"/>
        </w:rPr>
      </w:pPr>
      <w:r>
        <w:rPr>
          <w:rFonts w:ascii="Times New Roman" w:cs="Times New Roman" w:eastAsia="Times New Roman" w:hAnsi="Times New Roman"/>
          <w:sz w:val="15"/>
          <w:szCs w:val="15"/>
          <w:i w:val="1"/>
          <w:iCs w:val="1"/>
          <w:color w:val="auto"/>
        </w:rPr>
        <w:t>This summary highlights selected information contained elsewhere, or incorporated by reference, in this prospectus supplement. This summary does not contain all of the information that you should consider before deciding to invest in our common stock. For a more complete understanding of our company and this offering, you should carefully read and consider the more detailed information included or incorporated by reference in this prospectus supplement and the accompanying base prospectus, including the factors described under the heading “Risk Factors” on page S-4 of this prospectus supplement and the documents incorporated by reference in this prospectus supplement.</w:t>
      </w:r>
    </w:p>
    <w:p>
      <w:pPr>
        <w:spacing w:after="0" w:line="145" w:lineRule="exact"/>
        <w:rPr>
          <w:sz w:val="20"/>
          <w:szCs w:val="20"/>
          <w:color w:val="auto"/>
        </w:rPr>
      </w:pPr>
    </w:p>
    <w:p>
      <w:pPr>
        <w:ind w:right="140" w:firstLine="550"/>
        <w:spacing w:after="0" w:line="268" w:lineRule="auto"/>
        <w:rPr>
          <w:sz w:val="20"/>
          <w:szCs w:val="20"/>
          <w:color w:val="auto"/>
        </w:rPr>
      </w:pPr>
      <w:r>
        <w:rPr>
          <w:rFonts w:ascii="Times New Roman" w:cs="Times New Roman" w:eastAsia="Times New Roman" w:hAnsi="Times New Roman"/>
          <w:sz w:val="15"/>
          <w:szCs w:val="15"/>
          <w:i w:val="1"/>
          <w:iCs w:val="1"/>
          <w:color w:val="auto"/>
        </w:rPr>
        <w:t>All references to “Serve” refer to Serve Operating Co. (formerly known as Serve Robotics Inc.), a Delaware corporation and our direct, wholly-owned subsidiary. Unless otherwise stated or the context otherwise indicates, references to the “Company,” “we,” “our,” “us” or similar terms refer to Serve Robotics Inc. (formerly named Patricia Acquisition Corp.) together with its wholly-owned subsidiary, Serve. Serve holds all material assets and conducts all material business activities and operations of Serve Robotics Inc.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98" w:lineRule="exact"/>
        <w:rPr>
          <w:sz w:val="20"/>
          <w:szCs w:val="20"/>
          <w:color w:val="auto"/>
        </w:rPr>
      </w:pPr>
    </w:p>
    <w:p>
      <w:pPr>
        <w:ind w:right="140" w:firstLine="550"/>
        <w:spacing w:after="0" w:line="259" w:lineRule="auto"/>
        <w:rPr>
          <w:sz w:val="20"/>
          <w:szCs w:val="20"/>
          <w:color w:val="auto"/>
        </w:rPr>
      </w:pPr>
      <w:r>
        <w:rPr>
          <w:rFonts w:ascii="Times New Roman" w:cs="Times New Roman" w:eastAsia="Times New Roman" w:hAnsi="Times New Roman"/>
          <w:sz w:val="15"/>
          <w:szCs w:val="15"/>
          <w:color w:val="auto"/>
        </w:rPr>
        <w:t>We are engaged in developing technologies intended to enable sustainable, autonomous robotic solutions for public and commercial spaces. Our activities include the design, engineering, deployment, and operation of low-emission robotic systems built on our proprietary AI-enabled mobility platform. Our systems are designed to operate safely and efficiently in real world environments. While food delivery remains our primary commercial application, we are expanding our platform into adjacent markets, customer segments, and operating environments where autonomous mobility can address labor constraints, improve service levels, and reduce emissions. We intend to leverage our core autonomy stack, fleet management infrastructure, and operational expertise to support additional use cases across both outdoor and indoor settings. Our core technology originated in 2017 as a specialized project within Postmates Inc. (“Postmates”), an on-demand food delivery company in the United States. Following the acquisition of Postmates by Uber Technologies, Inc. (“Uber”) in 2020, Uber’s leadership team approved the contribution of the intellectual property and related assets associated with this project to our company in February 2021.</w:t>
      </w:r>
    </w:p>
    <w:p>
      <w:pPr>
        <w:spacing w:after="0" w:line="159" w:lineRule="exact"/>
        <w:rPr>
          <w:sz w:val="20"/>
          <w:szCs w:val="20"/>
          <w:color w:val="auto"/>
        </w:rPr>
      </w:pPr>
    </w:p>
    <w:p>
      <w:pPr>
        <w:ind w:right="100" w:firstLine="550"/>
        <w:spacing w:after="0" w:line="272" w:lineRule="auto"/>
        <w:rPr>
          <w:sz w:val="20"/>
          <w:szCs w:val="20"/>
          <w:color w:val="auto"/>
        </w:rPr>
      </w:pPr>
      <w:r>
        <w:rPr>
          <w:rFonts w:ascii="Times New Roman" w:cs="Times New Roman" w:eastAsia="Times New Roman" w:hAnsi="Times New Roman"/>
          <w:sz w:val="15"/>
          <w:szCs w:val="15"/>
          <w:color w:val="auto"/>
        </w:rPr>
        <w:t>As of December 31, 2025, Serve’s fleet consisted of over 2,000 sidewalk delivery robots. We maintain platform-level integrations with food delivery platforms, such as Uber Eats and DoorDash, which means Serve robots can provide real-time presence and status updates on those platforms and receive requests to perform deliveries with respect to customer orders placed on those platforms as needed.</w:t>
      </w:r>
    </w:p>
    <w:p>
      <w:pPr>
        <w:spacing w:after="0" w:line="146" w:lineRule="exact"/>
        <w:rPr>
          <w:sz w:val="20"/>
          <w:szCs w:val="20"/>
          <w:color w:val="auto"/>
        </w:rPr>
      </w:pPr>
    </w:p>
    <w:p>
      <w:pPr>
        <w:ind w:right="80" w:firstLine="550"/>
        <w:spacing w:after="0" w:line="272" w:lineRule="auto"/>
        <w:rPr>
          <w:sz w:val="20"/>
          <w:szCs w:val="20"/>
          <w:color w:val="auto"/>
        </w:rPr>
      </w:pPr>
      <w:r>
        <w:rPr>
          <w:rFonts w:ascii="Times New Roman" w:cs="Times New Roman" w:eastAsia="Times New Roman" w:hAnsi="Times New Roman"/>
          <w:sz w:val="15"/>
          <w:szCs w:val="15"/>
          <w:color w:val="auto"/>
        </w:rPr>
        <w:t>Because Serve started within a food delivery company, our team comes with a depth of expertise in food delivery. Additionally, the engineering team has extensive experience in artificial intelligence, automation and robotics. Our leadership team includes veterans from Uber, Instacart, Postmates, Waymo, Apple Inc., Blue Origin, LLC, GoPro, Inc., GoDaddy Inc., and Anki, Inc. We believe our expertise positions us to service the ever-growing on-demand delivery market, including food delivery.</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Additional details of our programs are contained in our Annual Report on Form 10-K for the fiscal year ended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98" w:lineRule="exact"/>
        <w:rPr>
          <w:sz w:val="20"/>
          <w:szCs w:val="20"/>
          <w:color w:val="auto"/>
        </w:rPr>
      </w:pPr>
    </w:p>
    <w:p>
      <w:pPr>
        <w:ind w:right="180" w:firstLine="550"/>
        <w:spacing w:after="0" w:line="290" w:lineRule="auto"/>
        <w:rPr>
          <w:sz w:val="20"/>
          <w:szCs w:val="20"/>
          <w:color w:val="auto"/>
        </w:rPr>
      </w:pPr>
      <w:r>
        <w:rPr>
          <w:rFonts w:ascii="Times New Roman" w:cs="Times New Roman" w:eastAsia="Times New Roman" w:hAnsi="Times New Roman"/>
          <w:sz w:val="15"/>
          <w:szCs w:val="15"/>
          <w:color w:val="auto"/>
        </w:rPr>
        <w:t>We are a Delaware corporation. Serve Operating Co. is our direct, wholly-owned subsidiary and holds all material assets and conducts all material business activities and operations of Serve Robotics Inc.</w:t>
      </w:r>
    </w:p>
    <w:p>
      <w:pPr>
        <w:spacing w:after="0" w:line="133" w:lineRule="exact"/>
        <w:rPr>
          <w:sz w:val="20"/>
          <w:szCs w:val="20"/>
          <w:color w:val="auto"/>
        </w:rPr>
      </w:pPr>
    </w:p>
    <w:p>
      <w:pPr>
        <w:ind w:right="760" w:firstLine="550"/>
        <w:spacing w:after="0" w:line="290" w:lineRule="auto"/>
        <w:rPr>
          <w:sz w:val="20"/>
          <w:szCs w:val="20"/>
          <w:color w:val="auto"/>
        </w:rPr>
      </w:pPr>
      <w:r>
        <w:rPr>
          <w:rFonts w:ascii="Times New Roman" w:cs="Times New Roman" w:eastAsia="Times New Roman" w:hAnsi="Times New Roman"/>
          <w:sz w:val="15"/>
          <w:szCs w:val="15"/>
          <w:color w:val="auto"/>
        </w:rPr>
        <w:t xml:space="preserve">Our principal executive offices are located at 730 Broadway, Redwood City, California 94063. Our telephone number is (818) 860-1352. Our website address is </w:t>
      </w:r>
      <w:r>
        <w:rPr>
          <w:rFonts w:ascii="Times New Roman" w:cs="Times New Roman" w:eastAsia="Times New Roman" w:hAnsi="Times New Roman"/>
          <w:sz w:val="15"/>
          <w:szCs w:val="15"/>
          <w:i w:val="1"/>
          <w:iCs w:val="1"/>
          <w:color w:val="auto"/>
        </w:rPr>
        <w:t>www.serverobotics.com</w:t>
      </w:r>
      <w:r>
        <w:rPr>
          <w:rFonts w:ascii="Times New Roman" w:cs="Times New Roman" w:eastAsia="Times New Roman" w:hAnsi="Times New Roman"/>
          <w:sz w:val="15"/>
          <w:szCs w:val="15"/>
          <w:color w:val="auto"/>
        </w:rPr>
        <w:t>. Information contained on, or that can be accessed through, our website is not a part of this prospectus supplement.</w:t>
      </w:r>
    </w:p>
    <w:p>
      <w:pPr>
        <w:spacing w:after="0" w:line="133" w:lineRule="exact"/>
        <w:rPr>
          <w:sz w:val="20"/>
          <w:szCs w:val="20"/>
          <w:color w:val="auto"/>
        </w:rPr>
      </w:pPr>
    </w:p>
    <w:p>
      <w:pPr>
        <w:ind w:right="100" w:firstLine="550"/>
        <w:spacing w:after="0" w:line="260" w:lineRule="auto"/>
        <w:rPr>
          <w:sz w:val="20"/>
          <w:szCs w:val="20"/>
          <w:color w:val="auto"/>
        </w:rPr>
      </w:pPr>
      <w:r>
        <w:rPr>
          <w:rFonts w:ascii="Times New Roman" w:cs="Times New Roman" w:eastAsia="Times New Roman" w:hAnsi="Times New Roman"/>
          <w:sz w:val="15"/>
          <w:szCs w:val="15"/>
          <w:color w:val="auto"/>
        </w:rPr>
        <w:t>We own various U.S. federal trademark registrations and applications and unregistered trademarks, including our corporate logo. This prospectus supplement and the information incorporated herein by reference contains references to trademarks, service marks and trade names owned by us or other companies. Solely for convenience, trademarks, service marks and trade names referred to in this prospectus supplement and the information incorporated 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prospectus supplement, the accompanying base prospectus supplement or any related free writing prospectus are the property of their respective owners.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13970</wp:posOffset>
            </wp:positionV>
            <wp:extent cx="7153275"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60"/>
          </w:cols>
          <w:pgMar w:left="420" w:top="888" w:right="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4890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51370" cy="4890770"/>
                    </a:xfrm>
                    <a:prstGeom prst="rect">
                      <a:avLst/>
                    </a:prstGeom>
                    <a:noFill/>
                  </pic:spPr>
                </pic:pic>
              </a:graphicData>
            </a:graphic>
          </wp:anchor>
        </w:drawing>
        <w:t>Implications of Being an Emerging Growth Company and a Smaller Reporting Company</w:t>
      </w:r>
    </w:p>
    <w:p>
      <w:pPr>
        <w:spacing w:after="0" w:line="198" w:lineRule="exact"/>
        <w:rPr>
          <w:sz w:val="20"/>
          <w:szCs w:val="20"/>
          <w:color w:val="auto"/>
        </w:rPr>
      </w:pPr>
    </w:p>
    <w:p>
      <w:pPr>
        <w:ind w:right="60" w:firstLine="550"/>
        <w:spacing w:after="0" w:line="272" w:lineRule="auto"/>
        <w:rPr>
          <w:sz w:val="20"/>
          <w:szCs w:val="20"/>
          <w:color w:val="auto"/>
        </w:rPr>
      </w:pPr>
      <w:r>
        <w:rPr>
          <w:rFonts w:ascii="Times New Roman" w:cs="Times New Roman" w:eastAsia="Times New Roman" w:hAnsi="Times New Roman"/>
          <w:sz w:val="15"/>
          <w:szCs w:val="15"/>
          <w:color w:val="auto"/>
        </w:rPr>
        <w:t>We qualify as an “emerging growth company” as defined in the Jumpstart Our Business Startups Act of 2012, as amended (the “JOBS Act”). An “emerging growth company” and “smaller reporting company” may take advantage of reduced reporting requirements that are otherwise applicable to public companies. These provisions include, but are not limited to:</w:t>
      </w:r>
    </w:p>
    <w:p>
      <w:pPr>
        <w:spacing w:after="0" w:line="146" w:lineRule="exact"/>
        <w:rPr>
          <w:sz w:val="20"/>
          <w:szCs w:val="20"/>
          <w:color w:val="auto"/>
        </w:rPr>
      </w:pPr>
    </w:p>
    <w:p>
      <w:pPr>
        <w:ind w:left="820" w:hanging="280"/>
        <w:spacing w:after="0" w:line="290" w:lineRule="auto"/>
        <w:tabs>
          <w:tab w:leader="none" w:pos="8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being permitted to present only two years of audited financial statements and only two years of related “Management’s Discussion and Analysis of Financial Condition and Results of Operations” disclosure in our periodic reports and registration statements, including this prospectus supplement;</w:t>
      </w:r>
    </w:p>
    <w:p>
      <w:pPr>
        <w:spacing w:after="0" w:line="132" w:lineRule="exact"/>
        <w:rPr>
          <w:rFonts w:ascii="Times New Roman" w:cs="Times New Roman" w:eastAsia="Times New Roman" w:hAnsi="Times New Roman"/>
          <w:sz w:val="15"/>
          <w:szCs w:val="15"/>
          <w:color w:val="auto"/>
        </w:rPr>
      </w:pPr>
    </w:p>
    <w:p>
      <w:pPr>
        <w:ind w:left="820" w:right="380" w:hanging="280"/>
        <w:spacing w:after="0" w:line="290" w:lineRule="auto"/>
        <w:tabs>
          <w:tab w:leader="none" w:pos="8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being required to comply with the auditor attestation requirements of Section 404 of the Sarbanes-Oxley Act, as amended (the “Sarbanes-Oxley Act”), on the effectiveness of our internal controls over financial reporting;</w:t>
      </w:r>
    </w:p>
    <w:p>
      <w:pPr>
        <w:spacing w:after="0" w:line="132" w:lineRule="exact"/>
        <w:rPr>
          <w:rFonts w:ascii="Times New Roman" w:cs="Times New Roman" w:eastAsia="Times New Roman" w:hAnsi="Times New Roman"/>
          <w:sz w:val="15"/>
          <w:szCs w:val="15"/>
          <w:color w:val="auto"/>
        </w:rPr>
      </w:pPr>
    </w:p>
    <w:p>
      <w:pPr>
        <w:ind w:left="820" w:right="280" w:hanging="280"/>
        <w:spacing w:after="0" w:line="290" w:lineRule="auto"/>
        <w:tabs>
          <w:tab w:leader="none" w:pos="8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disclosure obligations regarding executive compensation arrangements in our periodic reports, proxy statements and registration statements, including this prospectus supplement; and</w:t>
      </w:r>
    </w:p>
    <w:p>
      <w:pPr>
        <w:spacing w:after="0" w:line="132" w:lineRule="exact"/>
        <w:rPr>
          <w:rFonts w:ascii="Times New Roman" w:cs="Times New Roman" w:eastAsia="Times New Roman" w:hAnsi="Times New Roman"/>
          <w:sz w:val="15"/>
          <w:szCs w:val="15"/>
          <w:color w:val="auto"/>
        </w:rPr>
      </w:pPr>
    </w:p>
    <w:p>
      <w:pPr>
        <w:ind w:left="820" w:right="120" w:hanging="280"/>
        <w:spacing w:after="0" w:line="290" w:lineRule="auto"/>
        <w:tabs>
          <w:tab w:leader="none" w:pos="82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exemptions from the requirements of holding a nonbinding advisory vote on executive compensation and stockholder approval of any golden parachute payments not previously approved.</w:t>
      </w:r>
    </w:p>
    <w:p>
      <w:pPr>
        <w:spacing w:after="0" w:line="133" w:lineRule="exact"/>
        <w:rPr>
          <w:sz w:val="20"/>
          <w:szCs w:val="20"/>
          <w:color w:val="auto"/>
        </w:rPr>
      </w:pPr>
    </w:p>
    <w:p>
      <w:pPr>
        <w:ind w:right="40" w:firstLine="550"/>
        <w:spacing w:after="0" w:line="266" w:lineRule="auto"/>
        <w:rPr>
          <w:sz w:val="20"/>
          <w:szCs w:val="20"/>
          <w:color w:val="auto"/>
        </w:rPr>
      </w:pPr>
      <w:r>
        <w:rPr>
          <w:rFonts w:ascii="Times New Roman" w:cs="Times New Roman" w:eastAsia="Times New Roman" w:hAnsi="Times New Roman"/>
          <w:sz w:val="15"/>
          <w:szCs w:val="15"/>
          <w:color w:val="auto"/>
        </w:rPr>
        <w:t>We may use these provisions until December 31, 2028, which is the last day of the fiscal year following the fifth anniversary of the first sale of our common stock pursuant to an effective registration statement in 2023. However, if certain events occur prior to the end of such five-year period, including if we become a “large accelerated filer,” our annual gross revenues exceed $1.235 billion or we issue more than $1.00 billion of non-convertible debt in any three-year period, we will cease to be an emerging growth company prior to the end of such five-year period.</w:t>
      </w:r>
    </w:p>
    <w:p>
      <w:pPr>
        <w:spacing w:after="0" w:line="151" w:lineRule="exact"/>
        <w:rPr>
          <w:sz w:val="20"/>
          <w:szCs w:val="20"/>
          <w:color w:val="auto"/>
        </w:rPr>
      </w:pPr>
    </w:p>
    <w:p>
      <w:pPr>
        <w:jc w:val="both"/>
        <w:ind w:right="80" w:firstLine="550"/>
        <w:spacing w:after="0" w:line="272" w:lineRule="auto"/>
        <w:rPr>
          <w:sz w:val="20"/>
          <w:szCs w:val="20"/>
          <w:color w:val="auto"/>
        </w:rPr>
      </w:pPr>
      <w:r>
        <w:rPr>
          <w:rFonts w:ascii="Times New Roman" w:cs="Times New Roman" w:eastAsia="Times New Roman" w:hAnsi="Times New Roman"/>
          <w:sz w:val="15"/>
          <w:szCs w:val="15"/>
          <w:color w:val="auto"/>
        </w:rPr>
        <w:t>We have elected to take advantage of certain of the reduced disclosure obligations in the registration statement of which this prospectus supplement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6" w:lineRule="exact"/>
        <w:rPr>
          <w:sz w:val="20"/>
          <w:szCs w:val="20"/>
          <w:color w:val="auto"/>
        </w:rPr>
      </w:pPr>
    </w:p>
    <w:p>
      <w:pPr>
        <w:ind w:right="40" w:firstLine="550"/>
        <w:spacing w:after="0" w:line="261" w:lineRule="auto"/>
        <w:rPr>
          <w:sz w:val="20"/>
          <w:szCs w:val="20"/>
          <w:color w:val="auto"/>
        </w:rPr>
      </w:pPr>
      <w:r>
        <w:rPr>
          <w:rFonts w:ascii="Times New Roman" w:cs="Times New Roman" w:eastAsia="Times New Roman" w:hAnsi="Times New Roman"/>
          <w:sz w:val="15"/>
          <w:szCs w:val="15"/>
          <w:color w:val="auto"/>
        </w:rPr>
        <w:t>The JOBS Act provides that an emerging growth company can take advantage of an extended transition period for complying with new or revised accounting standards, until those standards apply to private companies. We have elected to take advantage of the benefits of this extended transition period and, therefore, we will not be subject to the same new or revised accounting standards as other public companies that are not emerging growth companies.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we will adopt the recently issued accounting standard.</w:t>
      </w:r>
    </w:p>
    <w:p>
      <w:pPr>
        <w:spacing w:after="0" w:line="157" w:lineRule="exact"/>
        <w:rPr>
          <w:sz w:val="20"/>
          <w:szCs w:val="20"/>
          <w:color w:val="auto"/>
        </w:rPr>
      </w:pPr>
    </w:p>
    <w:p>
      <w:pPr>
        <w:ind w:firstLine="550"/>
        <w:spacing w:after="0" w:line="263" w:lineRule="auto"/>
        <w:rPr>
          <w:sz w:val="20"/>
          <w:szCs w:val="20"/>
          <w:color w:val="auto"/>
        </w:rPr>
      </w:pPr>
      <w:r>
        <w:rPr>
          <w:rFonts w:ascii="Times New Roman" w:cs="Times New Roman" w:eastAsia="Times New Roman" w:hAnsi="Times New Roman"/>
          <w:sz w:val="15"/>
          <w:szCs w:val="15"/>
          <w:color w:val="auto"/>
        </w:rPr>
        <w:t>We are also a “smaller reporting company,” which generally means that (i) the market value of our common stock held by non-affiliates (“public float”) is less than $250 million, or (ii) our annual revenue is less than $100 million during the most recently completed fiscal year and our public float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13970</wp:posOffset>
            </wp:positionV>
            <wp:extent cx="7153275"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888" w:right="4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198755</wp:posOffset>
            </wp:positionH>
            <wp:positionV relativeFrom="page">
              <wp:posOffset>394970</wp:posOffset>
            </wp:positionV>
            <wp:extent cx="7151370" cy="5748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51370" cy="5748020"/>
                    </a:xfrm>
                    <a:prstGeom prst="rect">
                      <a:avLst/>
                    </a:prstGeom>
                    <a:noFill/>
                  </pic:spPr>
                </pic:pic>
              </a:graphicData>
            </a:graphic>
          </wp:anchor>
        </w:drawing>
        <w:t>THE OFFERING</w:t>
      </w:r>
    </w:p>
    <w:p>
      <w:pPr>
        <w:sectPr>
          <w:pgSz w:w="11900" w:h="16838" w:orient="portrait"/>
          <w:cols w:equalWidth="0" w:num="1">
            <w:col w:w="11040"/>
          </w:cols>
          <w:pgMar w:left="420" w:top="888" w:right="4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Common Stock Offered by Us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Common stock having an aggregate gross sales price of $150,000,000.</w:t>
      </w:r>
    </w:p>
    <w:p>
      <w:pPr>
        <w:spacing w:after="0" w:line="194" w:lineRule="exact"/>
        <w:rPr>
          <w:sz w:val="20"/>
          <w:szCs w:val="20"/>
          <w:color w:val="auto"/>
        </w:rPr>
      </w:pPr>
    </w:p>
    <w:p>
      <w:pPr>
        <w:sectPr>
          <w:pgSz w:w="11900" w:h="16838" w:orient="portrait"/>
          <w:cols w:equalWidth="0" w:num="2">
            <w:col w:w="2260" w:space="720"/>
            <w:col w:w="8060"/>
          </w:cols>
          <w:pgMar w:left="420" w:top="88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Manner of Offering</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5"/>
          <w:szCs w:val="15"/>
          <w:color w:val="auto"/>
        </w:rPr>
        <w:t>Sales of shares of our common stock under this prospectus supplement may be made by any method deemed to be an “at the market offering” as defined in Rule 415(a)(4) under the Securities Act, including by means of ordinary brokers’ transactions on Nasdaq at market prices or otherwise at prices related to prevailing market prices or at negotiated prices, by privately negotiated transactions (including block sales) or by any other methods permitted by applicable law. See “</w:t>
      </w:r>
      <w:r>
        <w:rPr>
          <w:rFonts w:ascii="Times New Roman" w:cs="Times New Roman" w:eastAsia="Times New Roman" w:hAnsi="Times New Roman"/>
          <w:sz w:val="15"/>
          <w:szCs w:val="15"/>
          <w:i w:val="1"/>
          <w:iCs w:val="1"/>
          <w:color w:val="auto"/>
        </w:rPr>
        <w:t>Plan of Distribution</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sectPr>
          <w:pgSz w:w="11900" w:h="16838" w:orient="portrait"/>
          <w:cols w:equalWidth="0" w:num="2">
            <w:col w:w="2260" w:space="720"/>
            <w:col w:w="8060"/>
          </w:cols>
          <w:pgMar w:left="420" w:top="888" w:right="439" w:bottom="1440" w:gutter="0" w:footer="0" w:header="0"/>
          <w:type w:val="continuous"/>
        </w:sectPr>
      </w:pPr>
    </w:p>
    <w:p>
      <w:pPr>
        <w:ind w:left="120" w:hanging="136"/>
        <w:spacing w:after="0" w:line="290" w:lineRule="auto"/>
        <w:rPr>
          <w:sz w:val="20"/>
          <w:szCs w:val="20"/>
          <w:color w:val="auto"/>
        </w:rPr>
      </w:pPr>
      <w:r>
        <w:rPr>
          <w:rFonts w:ascii="Times New Roman" w:cs="Times New Roman" w:eastAsia="Times New Roman" w:hAnsi="Times New Roman"/>
          <w:sz w:val="15"/>
          <w:szCs w:val="15"/>
          <w:color w:val="auto"/>
        </w:rPr>
        <w:t>Shares of Common Stock Outstanding Prior to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76,057,229 shares of our common stock (as of March 31, 2026).</w:t>
      </w:r>
    </w:p>
    <w:p>
      <w:pPr>
        <w:spacing w:after="0" w:line="377" w:lineRule="exact"/>
        <w:rPr>
          <w:sz w:val="20"/>
          <w:szCs w:val="20"/>
          <w:color w:val="auto"/>
        </w:rPr>
      </w:pPr>
    </w:p>
    <w:p>
      <w:pPr>
        <w:sectPr>
          <w:pgSz w:w="11900" w:h="16838" w:orient="portrait"/>
          <w:cols w:equalWidth="0" w:num="2">
            <w:col w:w="2840" w:space="140"/>
            <w:col w:w="8060"/>
          </w:cols>
          <w:pgMar w:left="420" w:top="88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Shares of Common Stock Outstanding After this 92,468,607 shares of our common stock, assuming the sale of 16,411,378 shares of our common stock in this offering at an offering</w:t>
      </w:r>
    </w:p>
    <w:p>
      <w:pPr>
        <w:spacing w:after="0" w:line="25" w:lineRule="exact"/>
        <w:rPr>
          <w:sz w:val="20"/>
          <w:szCs w:val="20"/>
          <w:color w:val="auto"/>
        </w:rPr>
      </w:pPr>
    </w:p>
    <w:p>
      <w:pPr>
        <w:ind w:left="2980" w:hanging="2859"/>
        <w:spacing w:after="0" w:line="269" w:lineRule="auto"/>
        <w:tabs>
          <w:tab w:leader="none" w:pos="2960" w:val="left"/>
        </w:tabs>
        <w:rPr>
          <w:sz w:val="20"/>
          <w:szCs w:val="20"/>
          <w:color w:val="auto"/>
        </w:rPr>
      </w:pPr>
      <w:r>
        <w:rPr>
          <w:rFonts w:ascii="Times New Roman" w:cs="Times New Roman" w:eastAsia="Times New Roman" w:hAnsi="Times New Roman"/>
          <w:sz w:val="15"/>
          <w:szCs w:val="15"/>
          <w:color w:val="auto"/>
        </w:rPr>
        <w:t>Offering</w:t>
      </w:r>
      <w:r>
        <w:rPr>
          <w:sz w:val="20"/>
          <w:szCs w:val="20"/>
          <w:color w:val="auto"/>
        </w:rPr>
        <w:tab/>
      </w:r>
      <w:r>
        <w:rPr>
          <w:rFonts w:ascii="Times New Roman" w:cs="Times New Roman" w:eastAsia="Times New Roman" w:hAnsi="Times New Roman"/>
          <w:sz w:val="15"/>
          <w:szCs w:val="15"/>
          <w:color w:val="auto"/>
        </w:rPr>
        <w:t>price of $9.14 per share, which was the last reported sale price of our common stock on Nasdaq on May 5, 2026. The actual number of shares of our common stock issued will vary depending on the sale price under this offering.</w:t>
      </w:r>
    </w:p>
    <w:p>
      <w:pPr>
        <w:sectPr>
          <w:pgSz w:w="11900" w:h="16838" w:orient="portrait"/>
          <w:cols w:equalWidth="0" w:num="1">
            <w:col w:w="11040"/>
          </w:cols>
          <w:pgMar w:left="420" w:top="888" w:right="439"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5"/>
          <w:szCs w:val="15"/>
          <w:color w:val="auto"/>
        </w:rPr>
        <w:t>We currently intend to use the net proceeds from the sale of shares of our common stock for working capital and other general corporate purposes. Our management will retain broad discretion over the allocation of the net proceeds from the sale of the shares of our common stock offered by this prospectus supplement. See “</w:t>
      </w:r>
      <w:r>
        <w:rPr>
          <w:rFonts w:ascii="Times New Roman" w:cs="Times New Roman" w:eastAsia="Times New Roman" w:hAnsi="Times New Roman"/>
          <w:sz w:val="15"/>
          <w:szCs w:val="15"/>
          <w:i w:val="1"/>
          <w:iCs w:val="1"/>
          <w:color w:val="auto"/>
        </w:rPr>
        <w:t>Use of Proceeds</w:t>
      </w:r>
      <w:r>
        <w:rPr>
          <w:rFonts w:ascii="Times New Roman" w:cs="Times New Roman" w:eastAsia="Times New Roman" w:hAnsi="Times New Roman"/>
          <w:sz w:val="15"/>
          <w:szCs w:val="15"/>
          <w:color w:val="auto"/>
        </w:rPr>
        <w:t>.”</w:t>
      </w:r>
    </w:p>
    <w:p>
      <w:pPr>
        <w:spacing w:after="0" w:line="142" w:lineRule="exact"/>
        <w:rPr>
          <w:sz w:val="20"/>
          <w:szCs w:val="20"/>
          <w:color w:val="auto"/>
        </w:rPr>
      </w:pPr>
    </w:p>
    <w:p>
      <w:pPr>
        <w:sectPr>
          <w:pgSz w:w="11900" w:h="16838" w:orient="portrait"/>
          <w:cols w:equalWidth="0" w:num="2">
            <w:col w:w="2260" w:space="720"/>
            <w:col w:w="8060"/>
          </w:cols>
          <w:pgMar w:left="420" w:top="888"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Risk Factors</w:t>
      </w:r>
    </w:p>
    <w:p>
      <w:pPr>
        <w:spacing w:after="0" w:line="20" w:lineRule="exact"/>
        <w:rPr>
          <w:sz w:val="20"/>
          <w:szCs w:val="20"/>
          <w:color w:val="auto"/>
        </w:rPr>
      </w:pPr>
      <w:r>
        <w:rPr>
          <w:sz w:val="20"/>
          <w:szCs w:val="20"/>
          <w:color w:val="auto"/>
        </w:rPr>
        <w:br w:type="column"/>
      </w:r>
    </w:p>
    <w:p>
      <w:pPr>
        <w:ind w:right="40"/>
        <w:spacing w:after="0" w:line="275" w:lineRule="auto"/>
        <w:rPr>
          <w:sz w:val="20"/>
          <w:szCs w:val="20"/>
          <w:color w:val="auto"/>
        </w:rPr>
      </w:pPr>
      <w:r>
        <w:rPr>
          <w:rFonts w:ascii="Times New Roman" w:cs="Times New Roman" w:eastAsia="Times New Roman" w:hAnsi="Times New Roman"/>
          <w:sz w:val="15"/>
          <w:szCs w:val="15"/>
          <w:color w:val="auto"/>
        </w:rPr>
        <w:t>See the section titled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in this prospectus supplement and the accompanying base prospectus and in the documents incorporated herein by reference for a discussion of certain factors you should carefully consider before deciding to invest in shares of our common stock.</w:t>
      </w:r>
    </w:p>
    <w:p>
      <w:pPr>
        <w:spacing w:after="0" w:line="144" w:lineRule="exact"/>
        <w:rPr>
          <w:sz w:val="20"/>
          <w:szCs w:val="20"/>
          <w:color w:val="auto"/>
        </w:rPr>
      </w:pPr>
    </w:p>
    <w:p>
      <w:pPr>
        <w:sectPr>
          <w:pgSz w:w="11900" w:h="16838" w:orient="portrait"/>
          <w:cols w:equalWidth="0" w:num="2">
            <w:col w:w="2260" w:space="720"/>
            <w:col w:w="8060"/>
          </w:cols>
          <w:pgMar w:left="420" w:top="888"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“SERV”</w:t>
      </w:r>
    </w:p>
    <w:p>
      <w:pPr>
        <w:spacing w:after="0" w:line="194" w:lineRule="exact"/>
        <w:rPr>
          <w:sz w:val="20"/>
          <w:szCs w:val="20"/>
          <w:color w:val="auto"/>
        </w:rPr>
      </w:pPr>
    </w:p>
    <w:p>
      <w:pPr>
        <w:sectPr>
          <w:pgSz w:w="11900" w:h="16838" w:orient="portrait"/>
          <w:cols w:equalWidth="0" w:num="2">
            <w:col w:w="2260" w:space="720"/>
            <w:col w:w="8060"/>
          </w:cols>
          <w:pgMar w:left="420" w:top="888" w:right="439" w:bottom="1440" w:gutter="0" w:footer="0" w:header="0"/>
          <w:type w:val="continuous"/>
        </w:sectPr>
      </w:pPr>
    </w:p>
    <w:p>
      <w:pPr>
        <w:ind w:right="140" w:firstLine="550"/>
        <w:spacing w:after="0" w:line="290" w:lineRule="auto"/>
        <w:rPr>
          <w:sz w:val="20"/>
          <w:szCs w:val="20"/>
          <w:color w:val="auto"/>
        </w:rPr>
      </w:pPr>
      <w:r>
        <w:rPr>
          <w:rFonts w:ascii="Times New Roman" w:cs="Times New Roman" w:eastAsia="Times New Roman" w:hAnsi="Times New Roman"/>
          <w:sz w:val="15"/>
          <w:szCs w:val="15"/>
          <w:color w:val="auto"/>
        </w:rPr>
        <w:t>The number of shares of our common stock expected to be outstanding immediately after this offering is based on 76,057,229 shares of our common stock outstanding as of March 31, 2026, and excludes:</w:t>
      </w:r>
    </w:p>
    <w:p>
      <w:pPr>
        <w:spacing w:after="0" w:line="133" w:lineRule="exact"/>
        <w:rPr>
          <w:sz w:val="20"/>
          <w:szCs w:val="20"/>
          <w:color w:val="auto"/>
        </w:rPr>
      </w:pPr>
    </w:p>
    <w:p>
      <w:pPr>
        <w:ind w:left="820" w:right="180" w:hanging="280"/>
        <w:spacing w:after="0" w:line="272" w:lineRule="auto"/>
        <w:tabs>
          <w:tab w:leader="none" w:pos="8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743,872 shares of our common stock issuable upon the exercise of options outstanding as of March 31, 2026, at a weighted average exercise price of $0.91 per share under our 2021 Stock Plan (our “2021 Stock Plan”), 2023 Equity Incentive Plan (our “2023 Equity Incentive Plan”), and Vayu Robotics Inc. 2022 Equity Incentive Plan (the “2022 Vayu Plan”);</w:t>
      </w:r>
    </w:p>
    <w:p>
      <w:pPr>
        <w:spacing w:after="0" w:line="146" w:lineRule="exact"/>
        <w:rPr>
          <w:rFonts w:ascii="Times New Roman" w:cs="Times New Roman" w:eastAsia="Times New Roman" w:hAnsi="Times New Roman"/>
          <w:sz w:val="15"/>
          <w:szCs w:val="15"/>
          <w:color w:val="auto"/>
        </w:rPr>
      </w:pPr>
    </w:p>
    <w:p>
      <w:pPr>
        <w:ind w:left="820" w:right="240" w:hanging="280"/>
        <w:spacing w:after="0" w:line="290" w:lineRule="auto"/>
        <w:tabs>
          <w:tab w:leader="none" w:pos="8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9,461,039 shares of our common stock issuable upon the vesting of restricted stock units outstanding as of March 31, 2026 under our 2021 Stock Plan, 2023 Equity Incentive Plan, 2022 Vayu Plan, and Vayu 2025 Equity Incentive Plan (the “2025 Vayu Plan”);</w:t>
      </w:r>
    </w:p>
    <w:p>
      <w:pPr>
        <w:spacing w:after="0" w:line="132" w:lineRule="exact"/>
        <w:rPr>
          <w:rFonts w:ascii="Times New Roman" w:cs="Times New Roman" w:eastAsia="Times New Roman" w:hAnsi="Times New Roman"/>
          <w:sz w:val="15"/>
          <w:szCs w:val="15"/>
          <w:color w:val="auto"/>
        </w:rPr>
      </w:pPr>
    </w:p>
    <w:p>
      <w:pPr>
        <w:ind w:left="820" w:right="300" w:hanging="280"/>
        <w:spacing w:after="0" w:line="290" w:lineRule="auto"/>
        <w:tabs>
          <w:tab w:leader="none" w:pos="8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5,079,294 shares of our common stock issuable upon the exercise of warrants outstanding as of March 31, 2026 at a weighted average exercise price of $10.18 per share;</w:t>
      </w:r>
    </w:p>
    <w:p>
      <w:pPr>
        <w:spacing w:after="0" w:line="132" w:lineRule="exact"/>
        <w:rPr>
          <w:rFonts w:ascii="Times New Roman" w:cs="Times New Roman" w:eastAsia="Times New Roman" w:hAnsi="Times New Roman"/>
          <w:sz w:val="15"/>
          <w:szCs w:val="15"/>
          <w:color w:val="auto"/>
        </w:rPr>
      </w:pPr>
    </w:p>
    <w:p>
      <w:pPr>
        <w:ind w:left="820" w:right="100" w:hanging="280"/>
        <w:spacing w:after="0" w:line="290" w:lineRule="auto"/>
        <w:tabs>
          <w:tab w:leader="none" w:pos="82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2,163,338 shares of our common stock reserved for issuance as of March 31, 2026 under our 2021 Stock Plan, 2023 Equity Incentive Plan, 2022 Vayu Plan, and 2025 Vayu Plan; and</w:t>
      </w:r>
    </w:p>
    <w:p>
      <w:pPr>
        <w:spacing w:after="0" w:line="134" w:lineRule="exact"/>
        <w:rPr>
          <w:rFonts w:ascii="Times New Roman" w:cs="Times New Roman" w:eastAsia="Times New Roman" w:hAnsi="Times New Roman"/>
          <w:sz w:val="15"/>
          <w:szCs w:val="15"/>
          <w:color w:val="auto"/>
        </w:rPr>
      </w:pPr>
    </w:p>
    <w:p>
      <w:pPr>
        <w:ind w:left="820" w:right="300" w:hanging="280"/>
        <w:spacing w:after="0" w:line="206" w:lineRule="auto"/>
        <w:tabs>
          <w:tab w:leader="none" w:pos="820" w:val="left"/>
        </w:tabs>
        <w:numPr>
          <w:ilvl w:val="0"/>
          <w:numId w:val="30"/>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5"/>
          <w:szCs w:val="15"/>
          <w:color w:val="auto"/>
        </w:rPr>
        <w:t>1,027,000 shares of our common stock issued in transactions consummated on April 1, 2026 pursuant to our Controlled Equity Offering</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5"/>
          <w:szCs w:val="15"/>
          <w:color w:val="auto"/>
        </w:rPr>
        <w:t xml:space="preserve"> Agreement, dated as of March 6, 2025, at a weighted average price of $8.22 per share. The Controlled Equity Offering</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5"/>
          <w:szCs w:val="15"/>
          <w:color w:val="auto"/>
        </w:rPr>
        <w:t xml:space="preserve"> Agreement was terminated effective May 7, 2026.</w:t>
      </w:r>
    </w:p>
    <w:p>
      <w:pPr>
        <w:spacing w:after="0" w:line="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Except as otherwise indicated, all information in this prospectus supplement assumes no exercise of the outstanding securities described above.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13970</wp:posOffset>
            </wp:positionV>
            <wp:extent cx="7153275"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420" w:top="888" w:right="43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15"/>
          <w:szCs w:val="15"/>
          <w:b w:val="1"/>
          <w:bCs w:val="1"/>
          <w:color w:val="auto"/>
        </w:rPr>
        <w:t>RISK FACTORS</w:t>
      </w:r>
    </w:p>
    <w:p>
      <w:pPr>
        <w:spacing w:after="0" w:line="194" w:lineRule="exact"/>
        <w:rPr>
          <w:sz w:val="20"/>
          <w:szCs w:val="20"/>
          <w:color w:val="auto"/>
        </w:rPr>
      </w:pPr>
    </w:p>
    <w:p>
      <w:pPr>
        <w:ind w:right="80" w:firstLine="549"/>
        <w:spacing w:after="0" w:line="260" w:lineRule="auto"/>
        <w:rPr>
          <w:sz w:val="20"/>
          <w:szCs w:val="20"/>
          <w:color w:val="auto"/>
        </w:rPr>
      </w:pPr>
      <w:r>
        <w:rPr>
          <w:rFonts w:ascii="Times New Roman" w:cs="Times New Roman" w:eastAsia="Times New Roman" w:hAnsi="Times New Roman"/>
          <w:sz w:val="15"/>
          <w:szCs w:val="15"/>
          <w:i w:val="1"/>
          <w:iCs w:val="1"/>
          <w:color w:val="auto"/>
        </w:rPr>
        <w:t>Investing in our securities involves risks. Before you make a decision to buy our securities, in addition to the risks and uncertainties discussed below under “Cautionary Note Regarding Forward-Looking Statements,” you should carefully consider the specific risks incorporated by reference in this prospectus supplement from our most recent Annual Report on Form 10-K and any subsequent Quarterly Reports on Form 10-Q or Current Reports on Form 8-K, and all other information contained or incorporated by reference into this prospectus supplement, as updated by our subsequent filings under the Exchange Act, and the risk factors and other information contained in any applicable prospectus supplement and any applicable free writing prospectus before acquiring any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incorporated by reference in this prospectus supplement are not the only risks and uncertainties that we face. Additional risks and uncertainties not presently known to us or that we currently believe to be immaterial may become material and adversely affect our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Relating to This Offering and Our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share price may be volatile, and you may be unable to sell your shares at or above the offering price.</w:t>
      </w:r>
    </w:p>
    <w:p>
      <w:pPr>
        <w:spacing w:after="0" w:line="198"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market price of our common stock is likely to be volatile and could be subject to wide fluctuations in response to many risk factors listed in this section, and others beyond our control, including:</w:t>
      </w:r>
    </w:p>
    <w:p>
      <w:pPr>
        <w:spacing w:after="0" w:line="133" w:lineRule="exact"/>
        <w:rPr>
          <w:sz w:val="20"/>
          <w:szCs w:val="20"/>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fluctuations in our financial condition and operating results, including fluctuations in our quarterly and annual results;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the listing of our common stock on Nasdaq;</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grow and manage growth profitably;</w:t>
      </w:r>
    </w:p>
    <w:p>
      <w:pPr>
        <w:spacing w:after="0" w:line="193" w:lineRule="exact"/>
        <w:rPr>
          <w:rFonts w:ascii="Times New Roman" w:cs="Times New Roman" w:eastAsia="Times New Roman" w:hAnsi="Times New Roman"/>
          <w:sz w:val="15"/>
          <w:szCs w:val="15"/>
          <w:color w:val="auto"/>
        </w:rPr>
      </w:pPr>
    </w:p>
    <w:p>
      <w:pPr>
        <w:ind w:left="820" w:right="100" w:hanging="279"/>
        <w:spacing w:after="0" w:line="290" w:lineRule="auto"/>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enter into binding contracts with original equipment manufacturers, tier-one suppliers, healthcare systems and other strategic partners in order to execute on our business plan;</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expansion plans and opportunities;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future expenditures;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technological innovations by us or our competitors;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overall conditions in our industry and the markets in which we operate;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 or loss of significant customers, or other developments with respect to significant customers;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laws or regulations applicable to our services;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changes in our growth rate relative to our competitors;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significant acquisitions, strategic partnerships, joint ventures or capital commitments;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or departures of key personnel;</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from existing products or new products that may emerge;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 of new or updated research or reports by securities analysts;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the valuation of companies perceived by investors to be comparable to us;</w:t>
      </w:r>
    </w:p>
    <w:p>
      <w:pPr>
        <w:spacing w:after="0" w:line="193" w:lineRule="exact"/>
        <w:rPr>
          <w:rFonts w:ascii="Times New Roman" w:cs="Times New Roman" w:eastAsia="Times New Roman" w:hAnsi="Times New Roman"/>
          <w:sz w:val="15"/>
          <w:szCs w:val="15"/>
          <w:color w:val="auto"/>
        </w:rPr>
      </w:pPr>
    </w:p>
    <w:p>
      <w:pPr>
        <w:ind w:left="820" w:right="660" w:hanging="279"/>
        <w:spacing w:after="0" w:line="290" w:lineRule="auto"/>
        <w:tabs>
          <w:tab w:leader="none" w:pos="8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disputes or other developments related to proprietary rights, including patents, litigation matters, and our ability to obtain intellectual property protection for our technologies;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44" w:name="page45"/>
    <w:bookmarkEnd w:id="44"/>
    <w:p>
      <w:pPr>
        <w:ind w:left="820" w:hanging="279"/>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 or expectation of additional financing efforts;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our common stock by us or our stockholders;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 price and volume fluctuations attributable to inconsistent trading volume levels of our shares;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dilution resulting from this offering and future sales of equity;</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obtain sufficient funding or access capital; and</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domestic and international economic and market conditions.</w:t>
      </w:r>
    </w:p>
    <w:p>
      <w:pPr>
        <w:spacing w:after="0" w:line="194" w:lineRule="exact"/>
        <w:rPr>
          <w:sz w:val="20"/>
          <w:szCs w:val="20"/>
          <w:color w:val="auto"/>
        </w:rPr>
      </w:pPr>
    </w:p>
    <w:p>
      <w:pPr>
        <w:ind w:right="60" w:firstLine="549"/>
        <w:spacing w:after="0" w:line="260" w:lineRule="auto"/>
        <w:rPr>
          <w:sz w:val="20"/>
          <w:szCs w:val="20"/>
          <w:color w:val="auto"/>
        </w:rPr>
      </w:pPr>
      <w:r>
        <w:rPr>
          <w:rFonts w:ascii="Times New Roman" w:cs="Times New Roman" w:eastAsia="Times New Roman" w:hAnsi="Times New Roman"/>
          <w:sz w:val="15"/>
          <w:szCs w:val="15"/>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ongoing global conflicts, U.S. tariffs and trade policies, or international currency fluctuations, may negatively impact the market price of our common stock. If the market price of our common stock after this offering does not exceed the public offering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will have broad discretion in the use of the net proceeds from this offering and may not use them effectively.</w:t>
      </w:r>
    </w:p>
    <w:p>
      <w:pPr>
        <w:spacing w:after="0" w:line="194"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Our management will have broad discretion in the application of the net proceeds from this offering, including for any of the purposes described in the section titled “</w:t>
      </w:r>
      <w:r>
        <w:rPr>
          <w:rFonts w:ascii="Times New Roman" w:cs="Times New Roman" w:eastAsia="Times New Roman" w:hAnsi="Times New Roman"/>
          <w:sz w:val="15"/>
          <w:szCs w:val="15"/>
          <w:i w:val="1"/>
          <w:iCs w:val="1"/>
          <w:color w:val="auto"/>
        </w:rPr>
        <w:t>Use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Proceeds</w:t>
      </w:r>
      <w:r>
        <w:rPr>
          <w:rFonts w:ascii="Times New Roman" w:cs="Times New Roman" w:eastAsia="Times New Roman" w:hAnsi="Times New Roman"/>
          <w:sz w:val="15"/>
          <w:szCs w:val="15"/>
          <w:color w:val="auto"/>
        </w:rPr>
        <w:t>,” as well as our existing cash and cash equivalents, and you will be relying on the judgment of our management regarding such application. Accordingly, you will have to rely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upon the judgment of our management with respect to the use of the proceeds, with only limited information concerning management’s specific intentions.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the net proceeds or our existing cash in ways that ultimately increase the value of your investment. If we do not invest or apply the net proceeds from this offering or our existing cash and cash equivalents in ways that enhance stockholder value, we may fail to achieve expected business and financial results, which could cause our stock price to decline. Pending their use, we may invest the net proceeds from this offering in short-term, investment-grade, interest-bearing securities. These investments may not yield a favorable return to our stockholders.</w:t>
      </w:r>
    </w:p>
    <w:p>
      <w:pPr>
        <w:spacing w:after="0" w:line="154"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Sale of our common stock by existing stockholders, or the perception that these sales may occur, especially by our directors, executive officers or significant stockholders, may cause our stock price to decline.</w:t>
      </w:r>
    </w:p>
    <w:p>
      <w:pPr>
        <w:spacing w:after="0" w:line="129" w:lineRule="exact"/>
        <w:rPr>
          <w:sz w:val="20"/>
          <w:szCs w:val="20"/>
          <w:color w:val="auto"/>
        </w:rPr>
      </w:pPr>
    </w:p>
    <w:p>
      <w:pPr>
        <w:ind w:right="20" w:firstLine="549"/>
        <w:spacing w:after="0" w:line="266" w:lineRule="auto"/>
        <w:rPr>
          <w:sz w:val="20"/>
          <w:szCs w:val="20"/>
          <w:color w:val="auto"/>
        </w:rPr>
      </w:pPr>
      <w:r>
        <w:rPr>
          <w:rFonts w:ascii="Times New Roman" w:cs="Times New Roman" w:eastAsia="Times New Roman" w:hAnsi="Times New Roman"/>
          <w:sz w:val="15"/>
          <w:szCs w:val="15"/>
          <w:color w:val="auto"/>
        </w:rPr>
        <w:t>If our existing stockholders, in particular our directors, executive officers or other affiliates, sell substantial amounts of our common stock in the public market, or are perceived by the public market as intending to sell, the trading price of our common stock could decline. In addition, sales of these shares of our common stock could impair our ability to raise capital, should we wish to do so. We cannot predict the timing or amount of future sales of our common stock by existing stockholders, but such sales, or the perception that such sales could occur, may adversely affect prevailing market prices for our common stock.</w:t>
      </w:r>
    </w:p>
    <w:p>
      <w:pPr>
        <w:spacing w:after="0" w:line="151" w:lineRule="exact"/>
        <w:rPr>
          <w:sz w:val="20"/>
          <w:szCs w:val="20"/>
          <w:color w:val="auto"/>
        </w:rPr>
      </w:pPr>
    </w:p>
    <w:p>
      <w:pPr>
        <w:ind w:right="40" w:firstLine="549"/>
        <w:spacing w:after="0" w:line="266" w:lineRule="auto"/>
        <w:rPr>
          <w:sz w:val="20"/>
          <w:szCs w:val="20"/>
          <w:color w:val="auto"/>
        </w:rPr>
      </w:pPr>
      <w:r>
        <w:rPr>
          <w:rFonts w:ascii="Times New Roman" w:cs="Times New Roman" w:eastAsia="Times New Roman" w:hAnsi="Times New Roman"/>
          <w:sz w:val="15"/>
          <w:szCs w:val="15"/>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i w:val="1"/>
          <w:iCs w:val="1"/>
          <w:color w:val="auto"/>
        </w:rPr>
        <w:t>Purchasers in this offering will experience immediate and substantial dilution in the book value of their investment.</w:t>
      </w:r>
    </w:p>
    <w:p>
      <w:pPr>
        <w:spacing w:after="0" w:line="198" w:lineRule="exact"/>
        <w:rPr>
          <w:sz w:val="20"/>
          <w:szCs w:val="20"/>
          <w:color w:val="auto"/>
        </w:rPr>
      </w:pPr>
    </w:p>
    <w:p>
      <w:pPr>
        <w:ind w:right="60" w:firstLine="549"/>
        <w:spacing w:after="0" w:line="261" w:lineRule="auto"/>
        <w:rPr>
          <w:sz w:val="20"/>
          <w:szCs w:val="20"/>
          <w:color w:val="auto"/>
        </w:rPr>
      </w:pPr>
      <w:r>
        <w:rPr>
          <w:rFonts w:ascii="Times New Roman" w:cs="Times New Roman" w:eastAsia="Times New Roman" w:hAnsi="Times New Roman"/>
          <w:sz w:val="15"/>
          <w:szCs w:val="15"/>
          <w:color w:val="auto"/>
        </w:rPr>
        <w:t>The price per share of our common stock being offered may be higher than the net tangible book value per share of our outstanding common stock prior to this offering. Assuming that an aggregate of 16,411,378 shares of our common stock are sold at a price of $9.14 per share, the last reported sale price of our common stock on Nasdaq on May 5, 2026, for aggregate gross proceeds of approximately $150,000,000, new investors in this offering would incur immediate dilution of $4.83 per share. For a more detailed discussion of the foregoing, see the section entitled “</w:t>
      </w:r>
      <w:r>
        <w:rPr>
          <w:rFonts w:ascii="Times New Roman" w:cs="Times New Roman" w:eastAsia="Times New Roman" w:hAnsi="Times New Roman"/>
          <w:sz w:val="15"/>
          <w:szCs w:val="15"/>
          <w:i w:val="1"/>
          <w:iCs w:val="1"/>
          <w:color w:val="auto"/>
        </w:rPr>
        <w:t>Dilution</w:t>
      </w:r>
      <w:r>
        <w:rPr>
          <w:rFonts w:ascii="Times New Roman" w:cs="Times New Roman" w:eastAsia="Times New Roman" w:hAnsi="Times New Roman"/>
          <w:sz w:val="15"/>
          <w:szCs w:val="15"/>
          <w:color w:val="auto"/>
        </w:rPr>
        <w:t>” below. To the extent outstanding stock options or warrants are exercised or outstanding restricted stock units vest, there will be further dilution to new investors. In addition, to the extent we raise additional capital in the future, and we issue shares of our common stock or securities convertible or exchangeable for our common stock, our then existing stockholders may experience dilution and the new securities may have rights senior to those of our common stock offered in this offering.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Future sales of equity could result in dilution to our stockholders, including purchasers of common stock in this offering.</w:t>
      </w:r>
    </w:p>
    <w:p>
      <w:pPr>
        <w:spacing w:after="0" w:line="198" w:lineRule="exact"/>
        <w:rPr>
          <w:sz w:val="20"/>
          <w:szCs w:val="20"/>
          <w:color w:val="auto"/>
        </w:rPr>
      </w:pPr>
    </w:p>
    <w:p>
      <w:pPr>
        <w:ind w:firstLine="549"/>
        <w:spacing w:after="0" w:line="263" w:lineRule="auto"/>
        <w:rPr>
          <w:sz w:val="20"/>
          <w:szCs w:val="20"/>
          <w:color w:val="auto"/>
        </w:rPr>
      </w:pPr>
      <w:r>
        <w:rPr>
          <w:rFonts w:ascii="Times New Roman" w:cs="Times New Roman" w:eastAsia="Times New Roman" w:hAnsi="Times New Roman"/>
          <w:sz w:val="15"/>
          <w:szCs w:val="15"/>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our common stock, in future transactions may be higher or lower than the price per share paid by any investors in this offering.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It is not possible to predict the number of shares that will be issued or the aggregate proceeds resulting from sales made under the Sales Agreement.</w:t>
      </w:r>
    </w:p>
    <w:p>
      <w:pPr>
        <w:spacing w:after="0" w:line="198" w:lineRule="exact"/>
        <w:rPr>
          <w:sz w:val="20"/>
          <w:szCs w:val="20"/>
          <w:color w:val="auto"/>
        </w:rPr>
      </w:pPr>
    </w:p>
    <w:p>
      <w:pPr>
        <w:ind w:right="240" w:firstLine="549"/>
        <w:spacing w:after="0" w:line="263" w:lineRule="auto"/>
        <w:rPr>
          <w:sz w:val="20"/>
          <w:szCs w:val="20"/>
          <w:color w:val="auto"/>
        </w:rPr>
      </w:pPr>
      <w:r>
        <w:rPr>
          <w:rFonts w:ascii="Times New Roman" w:cs="Times New Roman" w:eastAsia="Times New Roman" w:hAnsi="Times New Roman"/>
          <w:sz w:val="15"/>
          <w:szCs w:val="15"/>
          <w:color w:val="auto"/>
        </w:rPr>
        <w:t>Subject to certain limitations in the Sales Agreement and compliance with applicable law, we have the discretion to deliver a placement notice to an Agent at any time throughout the term of the Sales Agreement. The number of shares that are sold through an Agent after delivering a placement notice will fluctuate based on a number of factors, including the market price of our common stock during the sales period, any limits we may set with an Agent in any applicable placement notice, and the demand for our common stock. Because the price per share of each share sold pursuant to the Sales Agreement will fluctuate over time, it is not currently possible to predict the number of shares that will be sold or the aggregate proceeds to be raised in connection with sales under the Sales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common stock offered hereby will be sold in “at the market offerings,” and investors who buy shares at different times will likely pay different prices.</w:t>
      </w:r>
    </w:p>
    <w:p>
      <w:pPr>
        <w:spacing w:after="0" w:line="198" w:lineRule="exact"/>
        <w:rPr>
          <w:sz w:val="20"/>
          <w:szCs w:val="20"/>
          <w:color w:val="auto"/>
        </w:rPr>
      </w:pPr>
    </w:p>
    <w:p>
      <w:pPr>
        <w:ind w:right="20" w:firstLine="549"/>
        <w:spacing w:after="0" w:line="263" w:lineRule="auto"/>
        <w:rPr>
          <w:sz w:val="20"/>
          <w:szCs w:val="20"/>
          <w:color w:val="auto"/>
        </w:rPr>
      </w:pPr>
      <w:r>
        <w:rPr>
          <w:rFonts w:ascii="Times New Roman" w:cs="Times New Roman" w:eastAsia="Times New Roman" w:hAnsi="Times New Roman"/>
          <w:sz w:val="15"/>
          <w:szCs w:val="15"/>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delivered to an Agent,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46" w:name="page47"/>
    <w:bookmarkEnd w:id="46"/>
    <w:p>
      <w:pPr>
        <w:ind w:right="20"/>
        <w:spacing w:after="0" w:line="295" w:lineRule="auto"/>
        <w:rPr>
          <w:sz w:val="20"/>
          <w:szCs w:val="20"/>
          <w:color w:val="auto"/>
        </w:rPr>
      </w:pPr>
      <w:r>
        <w:rPr>
          <w:rFonts w:ascii="Times New Roman" w:cs="Times New Roman" w:eastAsia="Times New Roman" w:hAnsi="Times New Roman"/>
          <w:sz w:val="15"/>
          <w:szCs w:val="15"/>
          <w:b w:val="1"/>
          <w:bCs w:val="1"/>
          <w:i w:val="1"/>
          <w:iCs w:val="1"/>
          <w:color w:val="auto"/>
        </w:rPr>
        <w:t>Our current business plans require a significant amount of capital. If we are unable to obtain sufficient funding or do not have access to capital, we will not be able to execute our business plans and our prospects, financial condition and results of operations would be materially adversely affected.</w:t>
      </w:r>
    </w:p>
    <w:p>
      <w:pPr>
        <w:spacing w:after="0" w:line="129" w:lineRule="exact"/>
        <w:rPr>
          <w:sz w:val="20"/>
          <w:szCs w:val="20"/>
          <w:color w:val="auto"/>
        </w:rPr>
      </w:pPr>
    </w:p>
    <w:p>
      <w:pPr>
        <w:ind w:firstLine="549"/>
        <w:spacing w:after="0" w:line="259" w:lineRule="auto"/>
        <w:rPr>
          <w:sz w:val="20"/>
          <w:szCs w:val="20"/>
          <w:color w:val="auto"/>
        </w:rPr>
      </w:pPr>
      <w:r>
        <w:rPr>
          <w:rFonts w:ascii="Times New Roman" w:cs="Times New Roman" w:eastAsia="Times New Roman" w:hAnsi="Times New Roman"/>
          <w:sz w:val="15"/>
          <w:szCs w:val="15"/>
          <w:color w:val="auto"/>
        </w:rPr>
        <w:t>We will need additional funding to execute our business plans. Therefore, in addition to the net proceeds received under the Sales Agreement, we expect to continue to seek other sources of funding, including by offering additional equity and/or equity-linked securities through one or more credit facilities and potentially by offering debt securities to finance a portion of our future expenditures. We have experienced operating losses, and we expect to continue to incur operating losses as we implement our business plans. We expect our capital expenditures to continue to be significant in the foreseeable future as we expand our business. We expect to deploy capital with significant outlays directed toward expanding our fleet operations, integrating recently acquired businesses, including Diligent Robotics, Inc. and Vebu, Inc., developing our healthcare and indoor autonomy products, and advancing related products and service offerings. The fact that we have a limited operating history in certain of our markets, including healthcare, means we have limited historical data on the demand for our services. As a result, our capital requirements are uncertain and actual capital requirements may be different from those we currently anticipate. In addition, new opportunities for growth in future services and markets may arise and may require additional capital.</w:t>
      </w:r>
    </w:p>
    <w:p>
      <w:pPr>
        <w:spacing w:after="0" w:line="159" w:lineRule="exact"/>
        <w:rPr>
          <w:sz w:val="20"/>
          <w:szCs w:val="20"/>
          <w:color w:val="auto"/>
        </w:rPr>
      </w:pPr>
    </w:p>
    <w:p>
      <w:pPr>
        <w:ind w:right="40" w:firstLine="549"/>
        <w:spacing w:after="0" w:line="260" w:lineRule="auto"/>
        <w:rPr>
          <w:sz w:val="20"/>
          <w:szCs w:val="20"/>
          <w:color w:val="auto"/>
        </w:rPr>
      </w:pPr>
      <w:r>
        <w:rPr>
          <w:rFonts w:ascii="Times New Roman" w:cs="Times New Roman" w:eastAsia="Times New Roman" w:hAnsi="Times New Roman"/>
          <w:sz w:val="15"/>
          <w:szCs w:val="15"/>
          <w:color w:val="auto"/>
        </w:rPr>
        <w:t>The sale of additional equity or equity-linked securities could dilute our stockholders. The incurrence of indebtedness would result in increased debt service obligations and could result in operating and financing covenants that would restrict our operations or our ability to pay dividends to our stockholders. Our ability to obtain the necessary additional financing to carry out our business plans is subject to a number of factors, including general market conditions and investor acceptance of our business model. These factors may make the timing, amount, terms and conditions of such financing unattractive or unavailable to us. If we are unable to raise sufficient funds on favorable terms, we will have to significantly reduce our spending, delay or cancel our planned activities or substantially change our corporate structure. We might not be able to obtain any such funding or we might not have sufficient resources to conduct our business as projected, both of which could mean that we would be forced to curtail or discontinue our operations and our prospects, financial condition and consolidated results of operations would be materially adversely affected, in which case our investors could lose some or all of their investment.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do not intend to pay dividends in the foreseeable future.</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 have never paid cash dividends on our common stock and currently do not plan to pay any cash dividends in the foreseeable future.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5" w:right="35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5"/>
          <w:szCs w:val="15"/>
          <w:b w:val="1"/>
          <w:bCs w:val="1"/>
          <w:color w:val="auto"/>
        </w:rPr>
        <w:t>CAUTIONARY NOTE REGARDING FORWARD-LOOKING STATEMENTS</w:t>
      </w:r>
    </w:p>
    <w:p>
      <w:pPr>
        <w:spacing w:after="0" w:line="198" w:lineRule="exact"/>
        <w:rPr>
          <w:sz w:val="20"/>
          <w:szCs w:val="20"/>
          <w:color w:val="auto"/>
        </w:rPr>
      </w:pPr>
    </w:p>
    <w:p>
      <w:pPr>
        <w:ind w:right="60" w:firstLine="549"/>
        <w:spacing w:after="0" w:line="259" w:lineRule="auto"/>
        <w:rPr>
          <w:sz w:val="20"/>
          <w:szCs w:val="20"/>
          <w:color w:val="auto"/>
        </w:rPr>
      </w:pPr>
      <w:r>
        <w:rPr>
          <w:rFonts w:ascii="Times New Roman" w:cs="Times New Roman" w:eastAsia="Times New Roman" w:hAnsi="Times New Roman"/>
          <w:sz w:val="15"/>
          <w:szCs w:val="15"/>
          <w:color w:val="auto"/>
        </w:rPr>
        <w:t>This prospectus supplement, the accompanying base prospectus, and any accompanying prospectus supplement, or some of the information incorporated herein by reference, contain certain statements that constitute “forward-looking statements” within the meaning of Section 27A of the Securities Act and Section 21E of the Exchange Act. These forward-looking statements include, without limitation, statements regarding future financial performance, business strategies, expansion plans, future results of operations,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supplement and any accompanying prospectus, words such as “</w:t>
      </w:r>
      <w:r>
        <w:rPr>
          <w:rFonts w:ascii="Times New Roman" w:cs="Times New Roman" w:eastAsia="Times New Roman" w:hAnsi="Times New Roman"/>
          <w:sz w:val="15"/>
          <w:szCs w:val="15"/>
          <w:i w:val="1"/>
          <w:iCs w:val="1"/>
          <w:color w:val="auto"/>
        </w:rPr>
        <w:t>may</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should</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could</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would</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expect</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plan</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anticipate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intend</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believe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estimate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continue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project</w:t>
      </w:r>
      <w:r>
        <w:rPr>
          <w:rFonts w:ascii="Times New Roman" w:cs="Times New Roman" w:eastAsia="Times New Roman" w:hAnsi="Times New Roman"/>
          <w:sz w:val="15"/>
          <w:szCs w:val="15"/>
          <w:color w:val="auto"/>
        </w:rPr>
        <w:t>” or the negative of such terms or other similar expressions may identify forward-looking statements, but the absence of these words does not mean that a statement is not forward-looking. Forward-looking statements in this prospectus supplement and any accompanying prospectus and in any document incorporated by reference in this prospectus supplement may include, for example, statements about:</w:t>
      </w:r>
    </w:p>
    <w:p>
      <w:pPr>
        <w:spacing w:after="0" w:line="156" w:lineRule="exact"/>
        <w:rPr>
          <w:sz w:val="20"/>
          <w:szCs w:val="20"/>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protect and enforce our intellectual property and the scope and duration of such protection;</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reliance on third parties, including suppliers, delivery platforms, brand sponsors, software providers and service providers;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operate in public spaces and any errors caused by human supervisors, network connectivity or automation;</w:t>
      </w:r>
    </w:p>
    <w:p>
      <w:pPr>
        <w:spacing w:after="0" w:line="193" w:lineRule="exact"/>
        <w:rPr>
          <w:rFonts w:ascii="Times New Roman" w:cs="Times New Roman" w:eastAsia="Times New Roman" w:hAnsi="Times New Roman"/>
          <w:sz w:val="15"/>
          <w:szCs w:val="15"/>
          <w:color w:val="auto"/>
        </w:rPr>
      </w:pPr>
    </w:p>
    <w:p>
      <w:pPr>
        <w:ind w:left="820" w:right="240" w:hanging="279"/>
        <w:spacing w:after="0" w:line="290" w:lineRule="auto"/>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robots’ reliance on sophisticated software technology that incorporates third-party components and networks to operate and our ability to maintain licenses for this software technology;</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commercialize our products at a large scale;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competitive industry in which we operate which is subject to rapid technological change;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raise additional capital to develop our technology and scale our operations;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developments and projections relating to our competitors and our industry;</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adequately control the costs associated with our operations;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of current and future laws and regulations, especially those related to personal delivery devices;</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cybersecurity risks to our operational systems, infrastructure and integrated software by us or third-party vendors; and</w:t>
      </w:r>
    </w:p>
    <w:p>
      <w:pPr>
        <w:spacing w:after="0" w:line="189" w:lineRule="exact"/>
        <w:rPr>
          <w:rFonts w:ascii="Times New Roman" w:cs="Times New Roman" w:eastAsia="Times New Roman" w:hAnsi="Times New Roman"/>
          <w:sz w:val="15"/>
          <w:szCs w:val="15"/>
          <w:color w:val="auto"/>
        </w:rPr>
      </w:pPr>
    </w:p>
    <w:p>
      <w:pPr>
        <w:ind w:left="820" w:hanging="279"/>
        <w:spacing w:after="0" w:line="275" w:lineRule="auto"/>
        <w:tabs>
          <w:tab w:leader="none" w:pos="82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factors incorporated by reference herein, including those risk factors described in the section titled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under Part I, Item 1A of our Annual Report for the year ended December 31, 2025 filed with the SEC on March 12, 2026, as supplemented by Quarterly Reports on Form 10-Q and Current Reports on Form 8-K filed with the SEC.</w:t>
      </w:r>
    </w:p>
    <w:p>
      <w:pPr>
        <w:spacing w:after="0" w:line="144" w:lineRule="exact"/>
        <w:rPr>
          <w:sz w:val="20"/>
          <w:szCs w:val="20"/>
          <w:color w:val="auto"/>
        </w:rPr>
      </w:pPr>
    </w:p>
    <w:p>
      <w:pPr>
        <w:ind w:firstLine="549"/>
        <w:spacing w:after="0" w:line="258" w:lineRule="auto"/>
        <w:rPr>
          <w:sz w:val="20"/>
          <w:szCs w:val="20"/>
          <w:color w:val="auto"/>
        </w:rPr>
      </w:pPr>
      <w:r>
        <w:rPr>
          <w:rFonts w:ascii="Times New Roman" w:cs="Times New Roman" w:eastAsia="Times New Roman" w:hAnsi="Times New Roman"/>
          <w:sz w:val="15"/>
          <w:szCs w:val="15"/>
          <w:color w:val="auto"/>
        </w:rPr>
        <w:t>The forward-looking statements contained in this prospectus supplement, the accompanying base prospectus, and in any document incorporated by reference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5"/>
          <w:szCs w:val="15"/>
          <w:i w:val="1"/>
          <w:iCs w:val="1"/>
          <w:color w:val="auto"/>
        </w:rPr>
        <w:t>Risk Factors</w:t>
      </w:r>
      <w:r>
        <w:rPr>
          <w:rFonts w:ascii="Times New Roman" w:cs="Times New Roman" w:eastAsia="Times New Roman" w:hAnsi="Times New Roman"/>
          <w:sz w:val="15"/>
          <w:szCs w:val="15"/>
          <w:color w:val="auto"/>
        </w:rPr>
        <w:t xml:space="preserve">” and in our periodic filings with the SEC. Our SEC filings are available publicly on the SEC website at </w:t>
      </w:r>
      <w:r>
        <w:rPr>
          <w:rFonts w:ascii="Times New Roman" w:cs="Times New Roman" w:eastAsia="Times New Roman" w:hAnsi="Times New Roman"/>
          <w:sz w:val="15"/>
          <w:szCs w:val="15"/>
          <w:i w:val="1"/>
          <w:iCs w:val="1"/>
          <w:color w:val="auto"/>
        </w:rPr>
        <w:t>www.sec.gov</w:t>
      </w:r>
      <w:r>
        <w:rPr>
          <w:rFonts w:ascii="Times New Roman" w:cs="Times New Roman" w:eastAsia="Times New Roman" w:hAnsi="Times New Roman"/>
          <w:sz w:val="15"/>
          <w:szCs w:val="15"/>
          <w:color w:val="auto"/>
        </w:rPr>
        <w:t>. Moreover, we operate in a very competitive and rapidly changing environment. New risks and uncertainties emerge from time to time and it is not possible for us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our assumptions prove incorrect, actual results may vary in material respects from those projected in these forward-looking statements. Accordingly, forward-looking statements in this prospectus supplement and in any document incorporated herein by reference should not be relied upon as representing our views as of any subsequent date, and we undertake no obligation to update or revise any forward-looking statements, whether as a result of new information, future events or otherwise, except as may be required under applicable securities laws.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8" w:lineRule="exact"/>
        <w:rPr>
          <w:sz w:val="20"/>
          <w:szCs w:val="20"/>
          <w:color w:val="auto"/>
        </w:rPr>
      </w:pPr>
    </w:p>
    <w:p>
      <w:pPr>
        <w:ind w:right="80" w:firstLine="549"/>
        <w:spacing w:after="0" w:line="266" w:lineRule="auto"/>
        <w:rPr>
          <w:sz w:val="20"/>
          <w:szCs w:val="20"/>
          <w:color w:val="auto"/>
        </w:rPr>
      </w:pPr>
      <w:r>
        <w:rPr>
          <w:rFonts w:ascii="Times New Roman" w:cs="Times New Roman" w:eastAsia="Times New Roman" w:hAnsi="Times New Roman"/>
          <w:sz w:val="15"/>
          <w:szCs w:val="15"/>
          <w:color w:val="auto"/>
        </w:rPr>
        <w:t>We may issue and sell shares of our common stock having aggregate sales proceeds of up to $150,000,000 from time to time. Because there is no minimum offering price for the shares that we may offer from time to time, the actual total public offering amount, commissions and proceeds to us, if any, are not determinable at this time. Actual net proceeds will depend on the number of shares we sell and the prices at which such sales occur. There can be no assurance that we will sell any shares under or fully utilize the Sales Agreement with the Agents as a source of financing.</w:t>
      </w:r>
    </w:p>
    <w:p>
      <w:pPr>
        <w:spacing w:after="0" w:line="151"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Our management will have broad discretion over the uses of the net proceeds in this offering. We currently intend to use the net proceeds that we receive from this offering for working capital and other general corporate purposes. We may also use a portion of the net proceeds to acquire or invest in businesses and products that are complementary to our own, although we have no current plans, commitments or agreements with respect to any acquisitions.</w:t>
      </w:r>
    </w:p>
    <w:p>
      <w:pPr>
        <w:spacing w:after="0" w:line="146"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We will retain broad discretion over the use of the net proceeds from the sale of the securities by us. The net proceeds may be invested temporarily until they are used for their stated purpose or for general corporate purposes.</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5" w:right="37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5"/>
          <w:szCs w:val="15"/>
          <w:b w:val="1"/>
          <w:bCs w:val="1"/>
          <w:color w:val="auto"/>
        </w:rPr>
        <w:t>DILUTION</w:t>
      </w:r>
    </w:p>
    <w:p>
      <w:pPr>
        <w:spacing w:after="0" w:line="198" w:lineRule="exact"/>
        <w:rPr>
          <w:sz w:val="20"/>
          <w:szCs w:val="20"/>
          <w:color w:val="auto"/>
        </w:rPr>
      </w:pPr>
    </w:p>
    <w:p>
      <w:pPr>
        <w:ind w:right="120" w:firstLine="549"/>
        <w:spacing w:after="0" w:line="266" w:lineRule="auto"/>
        <w:rPr>
          <w:sz w:val="20"/>
          <w:szCs w:val="20"/>
          <w:color w:val="auto"/>
        </w:rPr>
      </w:pPr>
      <w:r>
        <w:rPr>
          <w:rFonts w:ascii="Times New Roman" w:cs="Times New Roman" w:eastAsia="Times New Roman" w:hAnsi="Times New Roman"/>
          <w:sz w:val="15"/>
          <w:szCs w:val="15"/>
          <w:color w:val="auto"/>
        </w:rPr>
        <w:t>If you purchase shares of our common stock in this offering, your interest will be diluted to the extent of the difference between the public offering price per share of our common stock and the unaudited as adjusted pro forma net tangible book value per share of our common stock after this offering. As of March 31, 2026, our unaudited as adjusted net tangible book value was $253.3 million, or $3.33 per share of our common stock. We calculate unaudited as adjusted net tangible book value per share by dividing our net tangible assets (total tangible assets less total liabilities) by the 76,014,674 shares of our common stock issued and outstanding as of March 31, 2026.</w:t>
      </w:r>
    </w:p>
    <w:p>
      <w:pPr>
        <w:spacing w:after="0" w:line="151"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15"/>
          <w:szCs w:val="15"/>
          <w:color w:val="auto"/>
        </w:rPr>
        <w:t>After giving effect to the sale by us of our common stock in the aggregate amount of $150,000,000 in this offering at an assumed offering price of $9.14 per share, which was the last reported sale price of our common stock on Nasdaq on May 5, 2026, and after deducting commissions and estimated offering expenses payable by us, our unaudited as adjusted pro forma net tangible book value as of March 31, 2026 would have been approximately $398.5 million, or $4.31 per share of our common stock. This represents an immediate increase in unaudited as adjusted pro forma net tangible book value of $0.98 per share to existing stockholders and an immediate dilution of $4.83 per share to new investors purchasing securities in this offering. We determine dilution by subtracting our unaudited as adjusted pro forma net tangible book value per share after this offering from the amount of cash paid by an investor for a share of common stock in this offering.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8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The following table illustrates the dilution on a per share basis:</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Assumed public offering price per share of our common stock</w:t>
            </w:r>
          </w:p>
        </w:tc>
        <w:tc>
          <w:tcPr>
            <w:tcW w:w="66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9.14</w:t>
            </w:r>
          </w:p>
        </w:tc>
        <w:tc>
          <w:tcPr>
            <w:tcW w:w="0" w:type="dxa"/>
            <w:vAlign w:val="bottom"/>
          </w:tcPr>
          <w:p>
            <w:pPr>
              <w:spacing w:after="0"/>
              <w:rPr>
                <w:sz w:val="1"/>
                <w:szCs w:val="1"/>
                <w:color w:val="auto"/>
              </w:rPr>
            </w:pPr>
          </w:p>
        </w:tc>
      </w:tr>
      <w:tr>
        <w:trPr>
          <w:trHeight w:val="183"/>
        </w:trPr>
        <w:tc>
          <w:tcPr>
            <w:tcW w:w="8480" w:type="dxa"/>
            <w:vAlign w:val="bottom"/>
          </w:tcPr>
          <w:p>
            <w:pPr>
              <w:spacing w:after="0"/>
              <w:rPr>
                <w:sz w:val="20"/>
                <w:szCs w:val="20"/>
                <w:color w:val="auto"/>
              </w:rPr>
            </w:pPr>
            <w:r>
              <w:rPr>
                <w:rFonts w:ascii="Times New Roman" w:cs="Times New Roman" w:eastAsia="Times New Roman" w:hAnsi="Times New Roman"/>
                <w:sz w:val="15"/>
                <w:szCs w:val="15"/>
                <w:color w:val="auto"/>
              </w:rPr>
              <w:t>Unaudited as adjusted net tangible book value per share of our common stock as of March 31, 2026</w:t>
            </w:r>
          </w:p>
        </w:tc>
        <w:tc>
          <w:tcPr>
            <w:tcW w:w="66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3.33</w:t>
            </w: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Increase per share of our common stock attributable to new investors in this offering</w:t>
            </w:r>
          </w:p>
        </w:tc>
        <w:tc>
          <w:tcPr>
            <w:tcW w:w="66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0.98</w:t>
            </w:r>
          </w:p>
        </w:tc>
        <w:tc>
          <w:tcPr>
            <w:tcW w:w="4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8480" w:type="dxa"/>
            <w:vAlign w:val="bottom"/>
          </w:tcPr>
          <w:p>
            <w:pPr>
              <w:spacing w:after="0" w:line="140" w:lineRule="exact"/>
              <w:rPr>
                <w:sz w:val="20"/>
                <w:szCs w:val="20"/>
                <w:color w:val="auto"/>
              </w:rPr>
            </w:pPr>
            <w:r>
              <w:rPr>
                <w:rFonts w:ascii="Times New Roman" w:cs="Times New Roman" w:eastAsia="Times New Roman" w:hAnsi="Times New Roman"/>
                <w:sz w:val="15"/>
                <w:szCs w:val="15"/>
                <w:color w:val="auto"/>
              </w:rPr>
              <w:t>Unaudited as adjusted pro forma net tangible book value per share of our common stock as of March 31, 2026, after giving effect to this</w:t>
            </w:r>
          </w:p>
        </w:tc>
        <w:tc>
          <w:tcPr>
            <w:tcW w:w="660" w:type="dxa"/>
            <w:vAlign w:val="bottom"/>
          </w:tcPr>
          <w:p>
            <w:pPr>
              <w:spacing w:after="0"/>
              <w:rPr>
                <w:sz w:val="12"/>
                <w:szCs w:val="12"/>
                <w:color w:val="auto"/>
              </w:rPr>
            </w:pPr>
          </w:p>
        </w:tc>
        <w:tc>
          <w:tcPr>
            <w:tcW w:w="13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4.31</w:t>
            </w:r>
          </w:p>
        </w:tc>
        <w:tc>
          <w:tcPr>
            <w:tcW w:w="0" w:type="dxa"/>
            <w:vAlign w:val="bottom"/>
          </w:tcPr>
          <w:p>
            <w:pPr>
              <w:spacing w:after="0"/>
              <w:rPr>
                <w:sz w:val="1"/>
                <w:szCs w:val="1"/>
                <w:color w:val="auto"/>
              </w:rPr>
            </w:pPr>
          </w:p>
        </w:tc>
      </w:tr>
      <w:tr>
        <w:trPr>
          <w:trHeight w:val="186"/>
        </w:trPr>
        <w:tc>
          <w:tcPr>
            <w:tcW w:w="84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offering</w:t>
            </w:r>
          </w:p>
        </w:tc>
        <w:tc>
          <w:tcPr>
            <w:tcW w:w="6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Dilution in unaudited as adjusted pro forma net tangible book value per share of our common stock to new investors purchasing our</w:t>
            </w:r>
          </w:p>
        </w:tc>
        <w:tc>
          <w:tcPr>
            <w:tcW w:w="6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480" w:type="dxa"/>
            <w:vAlign w:val="bottom"/>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4.83</w:t>
            </w:r>
          </w:p>
        </w:tc>
        <w:tc>
          <w:tcPr>
            <w:tcW w:w="0" w:type="dxa"/>
            <w:vAlign w:val="bottom"/>
          </w:tcPr>
          <w:p>
            <w:pPr>
              <w:spacing w:after="0"/>
              <w:rPr>
                <w:sz w:val="1"/>
                <w:szCs w:val="1"/>
                <w:color w:val="auto"/>
              </w:rPr>
            </w:pPr>
          </w:p>
        </w:tc>
      </w:tr>
      <w:tr>
        <w:trPr>
          <w:trHeight w:val="178"/>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common stock in this offering</w:t>
            </w:r>
          </w:p>
        </w:tc>
        <w:tc>
          <w:tcPr>
            <w:tcW w:w="66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table above assumes, for illustrative purposes, that an aggregate of 16,411,378 shares of our common stock are sold at a price of $9.14, which was the last reported sale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price of our common stock on Nasdaq on May 5, 2026, per share for aggregate gross proceeds of $150,000,000. An increase of $1.00 per share in the price at which the shares of our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common stock are sold from the assumed offering price of $9.14 per share shown in the table above, assuming all of the shares of our common stock in the aggregate amount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$150,000,000 are sold at that price, would increase our unaudited as adjusted pro forma net tangible book value per share of our common stock after the offering to $4.39 per share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would result in dilution in unaudited as adjusted pro forma net tangible book value per share of our common stock to new investors of $5.75 per share, after deducting commissions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estimated aggregate offering expenses payable by us. A decrease of $1.00 per share in the price at which the shares are sold from the assumed offering price of $9.14 per share shown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table above, assuming all of the shares of our common stock in the aggregate amount of $150,000,000 are sold at that price, would decrease our unaudited as adjusted pro forma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tangible book value per share of our common stock after the offering to $4.22 per share and would result in dilution in unaudited as adjusted pro forma net tangible book value per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 of our common stock to new investors of $3.92 per share, after deducting commissions and estimated aggregate offering expenses payable by us. This information is supplied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illustrative purposes only and may differ based on the actual offering price and the actual number of shares of our common stock sold in this offering.</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0" w:name="page51"/>
    <w:bookmarkEnd w:id="50"/>
    <w:p>
      <w:pPr>
        <w:ind w:right="540" w:firstLine="549"/>
        <w:spacing w:after="0" w:line="290" w:lineRule="auto"/>
        <w:rPr>
          <w:sz w:val="20"/>
          <w:szCs w:val="20"/>
          <w:color w:val="auto"/>
        </w:rPr>
      </w:pPr>
      <w:r>
        <w:rPr>
          <w:rFonts w:ascii="Times New Roman" w:cs="Times New Roman" w:eastAsia="Times New Roman" w:hAnsi="Times New Roman"/>
          <w:sz w:val="15"/>
          <w:szCs w:val="15"/>
          <w:color w:val="auto"/>
        </w:rPr>
        <w:t>The number of shares of our common stock expected to be outstanding immediately after this offering included in the table above is based on 76,014,674 shares of our common stock outstanding as of March 31, 2026, and excludes:</w:t>
      </w:r>
    </w:p>
    <w:p>
      <w:pPr>
        <w:spacing w:after="0" w:line="133" w:lineRule="exact"/>
        <w:rPr>
          <w:sz w:val="20"/>
          <w:szCs w:val="20"/>
          <w:color w:val="auto"/>
        </w:rPr>
      </w:pPr>
    </w:p>
    <w:p>
      <w:pPr>
        <w:ind w:left="820" w:hanging="279"/>
        <w:spacing w:after="0" w:line="290" w:lineRule="auto"/>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743,872 shares of our common stock issuable upon the exercise of options outstanding as of March 31, 2026, at a weighted average exercise price of $0.91 per share under our 2021 Stock Plan, 2023 Equity Incentive Plan, and 2022 Vayu Plan;</w:t>
      </w:r>
    </w:p>
    <w:p>
      <w:pPr>
        <w:spacing w:after="0" w:line="132" w:lineRule="exact"/>
        <w:rPr>
          <w:rFonts w:ascii="Times New Roman" w:cs="Times New Roman" w:eastAsia="Times New Roman" w:hAnsi="Times New Roman"/>
          <w:sz w:val="15"/>
          <w:szCs w:val="15"/>
          <w:color w:val="auto"/>
        </w:rPr>
      </w:pPr>
    </w:p>
    <w:p>
      <w:pPr>
        <w:ind w:left="820" w:right="460" w:hanging="279"/>
        <w:spacing w:after="0" w:line="290" w:lineRule="auto"/>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9,461,039 shares of our common stock issuable upon the vesting of restricted stock units outstanding as of March 31, 2026 under our 2021 Stock Plan, 2023 Equity Incentive Plan, 2022 Vayu Plan, and 2025 Vayu Plan;</w:t>
      </w:r>
    </w:p>
    <w:p>
      <w:pPr>
        <w:spacing w:after="0" w:line="132"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5,079,294 shares of our common stock issuable upon the exercise of warrants outstanding as of March 31, 2026 at a weighted average exercise price of $10.18 per share;</w:t>
      </w:r>
    </w:p>
    <w:p>
      <w:pPr>
        <w:spacing w:after="0" w:line="193" w:lineRule="exact"/>
        <w:rPr>
          <w:rFonts w:ascii="Times New Roman" w:cs="Times New Roman" w:eastAsia="Times New Roman" w:hAnsi="Times New Roman"/>
          <w:sz w:val="15"/>
          <w:szCs w:val="15"/>
          <w:color w:val="auto"/>
        </w:rPr>
      </w:pPr>
    </w:p>
    <w:p>
      <w:pPr>
        <w:ind w:left="820" w:right="320" w:hanging="279"/>
        <w:spacing w:after="0" w:line="290" w:lineRule="auto"/>
        <w:tabs>
          <w:tab w:leader="none" w:pos="82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2,163,338 shares of our common stock reserved for issuance as of March 31, 2026 under our 2021 Stock Plan, 2023 Equity Incentive Plan, 2022 Vayu Plan, and 2025 Vayu Plan; and</w:t>
      </w:r>
    </w:p>
    <w:p>
      <w:pPr>
        <w:spacing w:after="0" w:line="134" w:lineRule="exact"/>
        <w:rPr>
          <w:rFonts w:ascii="Times New Roman" w:cs="Times New Roman" w:eastAsia="Times New Roman" w:hAnsi="Times New Roman"/>
          <w:sz w:val="15"/>
          <w:szCs w:val="15"/>
          <w:color w:val="auto"/>
        </w:rPr>
      </w:pPr>
    </w:p>
    <w:p>
      <w:pPr>
        <w:ind w:left="820" w:right="80" w:hanging="279"/>
        <w:spacing w:after="0" w:line="206" w:lineRule="auto"/>
        <w:tabs>
          <w:tab w:leader="none" w:pos="820" w:val="left"/>
        </w:tabs>
        <w:numPr>
          <w:ilvl w:val="0"/>
          <w:numId w:val="34"/>
        </w:numPr>
        <w:rPr>
          <w:rFonts w:ascii="Times New Roman" w:cs="Times New Roman" w:eastAsia="Times New Roman" w:hAnsi="Times New Roman"/>
          <w:sz w:val="31"/>
          <w:szCs w:val="31"/>
          <w:color w:val="auto"/>
          <w:vertAlign w:val="superscript"/>
        </w:rPr>
      </w:pPr>
      <w:r>
        <w:rPr>
          <w:rFonts w:ascii="Times New Roman" w:cs="Times New Roman" w:eastAsia="Times New Roman" w:hAnsi="Times New Roman"/>
          <w:sz w:val="15"/>
          <w:szCs w:val="15"/>
          <w:color w:val="auto"/>
        </w:rPr>
        <w:t>1,027,000 shares of our common stock issued in transactions consummated on April 1, 2026 pursuant to our Controlled Equity Offering</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5"/>
          <w:szCs w:val="15"/>
          <w:color w:val="auto"/>
        </w:rPr>
        <w:t xml:space="preserve"> Agreement, dated as of March 6, 2025, at a weighted average price of $8.22 per share. The Controlled Equity Offering</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5"/>
          <w:szCs w:val="15"/>
          <w:color w:val="auto"/>
        </w:rPr>
        <w:t xml:space="preserve"> Agreement was terminated effective May 7, 2026.</w:t>
      </w:r>
    </w:p>
    <w:p>
      <w:pPr>
        <w:spacing w:after="0" w:line="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Except as otherwise indicated, all information in this prospectus supplement assumes no exercise or vesting of the outstanding securities described above.</w:t>
      </w:r>
    </w:p>
    <w:p>
      <w:pPr>
        <w:spacing w:after="0" w:line="194" w:lineRule="exact"/>
        <w:rPr>
          <w:sz w:val="20"/>
          <w:szCs w:val="20"/>
          <w:color w:val="auto"/>
        </w:rPr>
      </w:pPr>
    </w:p>
    <w:p>
      <w:pPr>
        <w:ind w:right="40" w:firstLine="549"/>
        <w:spacing w:after="0" w:line="266" w:lineRule="auto"/>
        <w:rPr>
          <w:sz w:val="20"/>
          <w:szCs w:val="20"/>
          <w:color w:val="auto"/>
        </w:rPr>
      </w:pPr>
      <w:r>
        <w:rPr>
          <w:rFonts w:ascii="Times New Roman" w:cs="Times New Roman" w:eastAsia="Times New Roman" w:hAnsi="Times New Roman"/>
          <w:sz w:val="15"/>
          <w:szCs w:val="15"/>
          <w:color w:val="auto"/>
        </w:rPr>
        <w:t>To the extent that outstanding options or warrants have been or are exercised, outstanding restricted stock units have vested and settled or vest and settle, or other shares of our common stock are issued, investors purchasing shares of our common stock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securities, the issuance of these securities could result in further dilution to our stockholders.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98" w:lineRule="exact"/>
        <w:rPr>
          <w:sz w:val="20"/>
          <w:szCs w:val="20"/>
          <w:color w:val="auto"/>
        </w:rPr>
      </w:pPr>
    </w:p>
    <w:p>
      <w:pPr>
        <w:ind w:firstLine="549"/>
        <w:spacing w:after="0" w:line="263" w:lineRule="auto"/>
        <w:rPr>
          <w:sz w:val="20"/>
          <w:szCs w:val="20"/>
          <w:color w:val="auto"/>
        </w:rPr>
      </w:pPr>
      <w:r>
        <w:rPr>
          <w:rFonts w:ascii="Times New Roman" w:cs="Times New Roman" w:eastAsia="Times New Roman" w:hAnsi="Times New Roman"/>
          <w:sz w:val="15"/>
          <w:szCs w:val="15"/>
          <w:color w:val="auto"/>
        </w:rPr>
        <w:t>We have not paid any cash dividends on our common stock to date. We may retain future earnings, if any, for future operations, expansion and debt repayment and have no current plans to pay cash dividends for the foreseeable future. Any decision to declare and pay dividends in the future will be made at the discretion of the board of directors and will depend on, among other things, our results of operations, financial condition, cash requirements, contractual restrictions and other factors that the board of directors may deem relevant. In addition, our ability to pay dividends may be limited by covenants of any existing and future outstanding indebtedness we or our subsidiaries incur. We do not anticipate declaring any cash dividends to holders of our common stock in the foreseeable future.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5" w:right="35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5"/>
          <w:szCs w:val="15"/>
          <w:b w:val="1"/>
          <w:bCs w:val="1"/>
          <w:color w:val="auto"/>
        </w:rPr>
        <w:t>PLAN OF DISTRIBUTION</w:t>
      </w:r>
    </w:p>
    <w:p>
      <w:pPr>
        <w:spacing w:after="0" w:line="198" w:lineRule="exact"/>
        <w:rPr>
          <w:sz w:val="20"/>
          <w:szCs w:val="20"/>
          <w:color w:val="auto"/>
        </w:rPr>
      </w:pPr>
    </w:p>
    <w:p>
      <w:pPr>
        <w:ind w:firstLine="549"/>
        <w:spacing w:after="0" w:line="263" w:lineRule="auto"/>
        <w:rPr>
          <w:sz w:val="20"/>
          <w:szCs w:val="20"/>
          <w:color w:val="auto"/>
        </w:rPr>
      </w:pPr>
      <w:r>
        <w:rPr>
          <w:rFonts w:ascii="Times New Roman" w:cs="Times New Roman" w:eastAsia="Times New Roman" w:hAnsi="Times New Roman"/>
          <w:sz w:val="15"/>
          <w:szCs w:val="15"/>
          <w:color w:val="auto"/>
        </w:rPr>
        <w:t>We have entered into the Sales Agreement with the Agents on May 11, 2026, under which we may offer and sell up to $150,000,000 of shares of our common stock from time to time through or to the Agents, as sales agents or principals. Sales of our shares of common stock, if any, under this prospectus supplement and the accompanying base prospectus will be made by any method that is deemed to be an “at the market offering” as defined in Rule 415(a)(4) under the Securities Act, including by means of ordinary brokers’ transactions on Nasdaq at market prices or otherwise at prices related to prevailing market prices or at negotiated prices, by privately negotiated transactions (including block sales) or by any other methods permitted by applicable law.</w:t>
      </w:r>
    </w:p>
    <w:p>
      <w:pPr>
        <w:spacing w:after="0" w:line="154" w:lineRule="exact"/>
        <w:rPr>
          <w:sz w:val="20"/>
          <w:szCs w:val="20"/>
          <w:color w:val="auto"/>
        </w:rPr>
      </w:pPr>
    </w:p>
    <w:p>
      <w:pPr>
        <w:ind w:right="60" w:firstLine="549"/>
        <w:spacing w:after="0" w:line="263" w:lineRule="auto"/>
        <w:rPr>
          <w:sz w:val="20"/>
          <w:szCs w:val="20"/>
          <w:color w:val="auto"/>
        </w:rPr>
      </w:pPr>
      <w:r>
        <w:rPr>
          <w:rFonts w:ascii="Times New Roman" w:cs="Times New Roman" w:eastAsia="Times New Roman" w:hAnsi="Times New Roman"/>
          <w:sz w:val="15"/>
          <w:szCs w:val="15"/>
          <w:color w:val="auto"/>
        </w:rPr>
        <w:t>Each time we wish to issue and sell shares of our common stock under the Sales Agreement, we will notify an Agent of the number of shares to be issued, the dates on which such sales are anticipated to be made, any limitation on the number of shares to be sold in any one day and any minimum price below which sales may not be made. Once we have so instructed an Agent, unless such Agent declines to accept the terms of such notice, each Agent has agreed to use its commercially reasonable efforts consistent with normal trading and sales practices and applicable state and federal laws, rules, and regulations and the rules of Nasdaq, to sell such shares up to the amount specified on such terms. The obligations of the Agents under the Sales Agreement to sell shares of our common stock are subject to a number of conditions that we must meet.</w:t>
      </w:r>
    </w:p>
    <w:p>
      <w:pPr>
        <w:spacing w:after="0" w:line="154"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The settlement of sales of shares between us and the Agents is generally anticipated to occur on the first trading day following the date on which the sale was made. Sales of shares of our common stock as contemplated in this prospectus supplement will be settled through the facilities of The Depository Trust Company or by such other means as we and the Agents may agree upon. There is no arrangement for funds to be received in an escrow, trust or similar arrangement.</w:t>
      </w:r>
    </w:p>
    <w:p>
      <w:pPr>
        <w:spacing w:after="0" w:line="146" w:lineRule="exact"/>
        <w:rPr>
          <w:sz w:val="20"/>
          <w:szCs w:val="20"/>
          <w:color w:val="auto"/>
        </w:rPr>
      </w:pPr>
    </w:p>
    <w:p>
      <w:pPr>
        <w:ind w:right="20" w:firstLine="549"/>
        <w:spacing w:after="0" w:line="261" w:lineRule="auto"/>
        <w:rPr>
          <w:sz w:val="20"/>
          <w:szCs w:val="20"/>
          <w:color w:val="auto"/>
        </w:rPr>
      </w:pPr>
      <w:r>
        <w:rPr>
          <w:rFonts w:ascii="Times New Roman" w:cs="Times New Roman" w:eastAsia="Times New Roman" w:hAnsi="Times New Roman"/>
          <w:sz w:val="15"/>
          <w:szCs w:val="15"/>
          <w:color w:val="auto"/>
        </w:rPr>
        <w:t>We will pay the Agents a commission of up to 3.0% of the gross offering proceeds of the shares of our common stock sold pursuant to the Sales Agreement. Because there is no minimum offering amount required as a condition to close this offering, the actual total public offering amount, commissions and proceeds to us, if any, are not determinable at this time. In addition, we have agreed in the Sales Agreement to reimburse the Agents for certain fees and disbursements payable upon execution of the Sales Agreement, in an amount not to exceed $100,000, in addition to certain ongoing disbursements of their legal counsel in the amount up to $25,000 in connection with certain events described in the Sales Agreement. We estimate that the total expenses for the offering, excluding any commissions or expense reimbursement payable to the Agents under the terms of the Sales Agreement will be approximately $335,000. The remaining sale proceeds, after deducting any other transaction fees, will equal our net proceeds from the sale of such shares.</w:t>
      </w:r>
    </w:p>
    <w:p>
      <w:pPr>
        <w:spacing w:after="0" w:line="157" w:lineRule="exact"/>
        <w:rPr>
          <w:sz w:val="20"/>
          <w:szCs w:val="20"/>
          <w:color w:val="auto"/>
        </w:rPr>
      </w:pPr>
    </w:p>
    <w:p>
      <w:pPr>
        <w:ind w:right="80" w:firstLine="549"/>
        <w:spacing w:after="0" w:line="266" w:lineRule="auto"/>
        <w:rPr>
          <w:sz w:val="20"/>
          <w:szCs w:val="20"/>
          <w:color w:val="auto"/>
        </w:rPr>
      </w:pPr>
      <w:r>
        <w:rPr>
          <w:rFonts w:ascii="Times New Roman" w:cs="Times New Roman" w:eastAsia="Times New Roman" w:hAnsi="Times New Roman"/>
          <w:sz w:val="15"/>
          <w:szCs w:val="15"/>
          <w:color w:val="auto"/>
        </w:rPr>
        <w:t>The Agents will provide written confirmation to us prior to the opening of trading on Nasdaq on the trading day following each day in which shares of our common stock are sold under the Sales Agreement setting forth (i) the number of shares of common stock sold on such day, (ii) the price or prices at which such shares of common stock were sold on such day, (iii) the gross offering proceeds received from such sale, (iv) the net proceeds to the Company and (v) the commission payable by the Company to the Agents with respect to such sales.</w:t>
      </w:r>
    </w:p>
    <w:p>
      <w:pPr>
        <w:spacing w:after="0" w:line="151" w:lineRule="exact"/>
        <w:rPr>
          <w:sz w:val="20"/>
          <w:szCs w:val="20"/>
          <w:color w:val="auto"/>
        </w:rPr>
      </w:pPr>
    </w:p>
    <w:p>
      <w:pPr>
        <w:jc w:val="both"/>
        <w:ind w:right="120" w:firstLine="549"/>
        <w:spacing w:after="0" w:line="272" w:lineRule="auto"/>
        <w:rPr>
          <w:sz w:val="20"/>
          <w:szCs w:val="20"/>
          <w:color w:val="auto"/>
        </w:rPr>
      </w:pPr>
      <w:r>
        <w:rPr>
          <w:rFonts w:ascii="Times New Roman" w:cs="Times New Roman" w:eastAsia="Times New Roman" w:hAnsi="Times New Roman"/>
          <w:sz w:val="15"/>
          <w:szCs w:val="15"/>
          <w:color w:val="auto"/>
        </w:rPr>
        <w:t>In connection with the sale of shares of our common stock on our behalf, the Agents will be deemed to be an “underwriter” within the meaning of the Securities Act, and the compensation of the Agents will be deemed to be underwriting commissions or discounts. We have agreed to indemnify the Agents against certain civil liabilities, including liabilities under the Securities Act. We have also agreed to contribute to payments the Agents may be required to make in respect of such liabilities.</w:t>
      </w:r>
    </w:p>
    <w:p>
      <w:pPr>
        <w:spacing w:after="0" w:line="146" w:lineRule="exact"/>
        <w:rPr>
          <w:sz w:val="20"/>
          <w:szCs w:val="20"/>
          <w:color w:val="auto"/>
        </w:rPr>
      </w:pPr>
    </w:p>
    <w:p>
      <w:pPr>
        <w:jc w:val="both"/>
        <w:ind w:right="140" w:firstLine="549"/>
        <w:spacing w:after="0" w:line="290" w:lineRule="auto"/>
        <w:rPr>
          <w:sz w:val="20"/>
          <w:szCs w:val="20"/>
          <w:color w:val="auto"/>
        </w:rPr>
      </w:pPr>
      <w:r>
        <w:rPr>
          <w:rFonts w:ascii="Times New Roman" w:cs="Times New Roman" w:eastAsia="Times New Roman" w:hAnsi="Times New Roman"/>
          <w:sz w:val="15"/>
          <w:szCs w:val="15"/>
          <w:color w:val="auto"/>
        </w:rPr>
        <w:t>The offering of shares of our common stock pursuant to the Sales Agreement will terminate upon the earlier of (i) the sale of all shares of our common stock subject to the Sales Agreement and (ii) the termination of the Sales Agreement as permitted therein. We and the Agents may each terminate the Sales Agreement at any time upon five days’ notice.</w:t>
      </w:r>
    </w:p>
    <w:p>
      <w:pPr>
        <w:spacing w:after="0" w:line="133" w:lineRule="exact"/>
        <w:rPr>
          <w:sz w:val="20"/>
          <w:szCs w:val="20"/>
          <w:color w:val="auto"/>
        </w:rPr>
      </w:pPr>
    </w:p>
    <w:p>
      <w:pPr>
        <w:ind w:right="260" w:firstLine="549"/>
        <w:spacing w:after="0" w:line="290" w:lineRule="auto"/>
        <w:rPr>
          <w:sz w:val="20"/>
          <w:szCs w:val="20"/>
          <w:color w:val="auto"/>
        </w:rPr>
      </w:pPr>
      <w:r>
        <w:rPr>
          <w:rFonts w:ascii="Times New Roman" w:cs="Times New Roman" w:eastAsia="Times New Roman" w:hAnsi="Times New Roman"/>
          <w:sz w:val="15"/>
          <w:szCs w:val="15"/>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33"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The Agents and their affiliates may in the future provide various investment banking, commercial banking, financial advisory and other financial services for us and our affiliates, for which services they may in the future receive customary fees. In the course of their business, the Agents may actively trade our securities for their own accounts or for the accounts of customers, and, accordingly, the Agents may at any time hold long or short positions in such securities. Evercore Group L.L.C. has in the past acted as our financial advisor, for which we previously agreed to pay Evercore Group L.L.C. a fee of $1,000,000.</w:t>
      </w:r>
    </w:p>
    <w:p>
      <w:pPr>
        <w:spacing w:after="0" w:line="151" w:lineRule="exact"/>
        <w:rPr>
          <w:sz w:val="20"/>
          <w:szCs w:val="20"/>
          <w:color w:val="auto"/>
        </w:rPr>
      </w:pPr>
    </w:p>
    <w:p>
      <w:pPr>
        <w:ind w:right="360" w:firstLine="549"/>
        <w:spacing w:after="0" w:line="290" w:lineRule="auto"/>
        <w:rPr>
          <w:sz w:val="20"/>
          <w:szCs w:val="20"/>
          <w:color w:val="auto"/>
        </w:rPr>
      </w:pPr>
      <w:r>
        <w:rPr>
          <w:rFonts w:ascii="Times New Roman" w:cs="Times New Roman" w:eastAsia="Times New Roman" w:hAnsi="Times New Roman"/>
          <w:sz w:val="15"/>
          <w:szCs w:val="15"/>
          <w:color w:val="auto"/>
        </w:rPr>
        <w:t>A prospectus supplement and the accompanying base prospectus in electronic format may be made available on a website maintained by the Agents, and the Agents may distribute the prospectus supplement and the accompanying base prospectus electronically.</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53" w:name="page54"/>
    <w:bookmarkEnd w:id="53"/>
    <w:p>
      <w:pPr>
        <w:jc w:val="center"/>
        <w:ind w:right="-219"/>
        <w:spacing w:after="0"/>
        <w:rPr>
          <w:sz w:val="20"/>
          <w:szCs w:val="20"/>
          <w:color w:val="auto"/>
        </w:rPr>
      </w:pPr>
      <w:r>
        <w:rPr>
          <w:rFonts w:ascii="Times New Roman" w:cs="Times New Roman" w:eastAsia="Times New Roman" w:hAnsi="Times New Roman"/>
          <w:sz w:val="15"/>
          <w:szCs w:val="15"/>
          <w:b w:val="1"/>
          <w:bCs w:val="1"/>
          <w:color w:val="auto"/>
        </w:rPr>
        <w:t>LEGAL MATTERS</w:t>
      </w:r>
    </w:p>
    <w:p>
      <w:pPr>
        <w:spacing w:after="0" w:line="198"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validity of the shares of our common stock offered by this prospectus supplement will be passed upon for the Company by Orrick, Herrington &amp; Sutcliffe LLP, Boston, Massachusetts. Latham &amp; Watkins LLP, Redwood City, California, is acting as counsel for the Agents in connection with this offering.</w:t>
      </w:r>
    </w:p>
    <w:p>
      <w:pPr>
        <w:spacing w:after="0" w:line="30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040"/>
          </w:cols>
          <w:pgMar w:left="320" w:top="785" w:right="53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EXPERTS</w:t>
      </w:r>
    </w:p>
    <w:p>
      <w:pPr>
        <w:spacing w:after="0" w:line="198"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The financial statements as of December 31, 2025 and for the year ended December 31, 2025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pacing w:after="0" w:line="146" w:lineRule="exact"/>
        <w:rPr>
          <w:sz w:val="20"/>
          <w:szCs w:val="20"/>
          <w:color w:val="auto"/>
        </w:rPr>
      </w:pPr>
    </w:p>
    <w:p>
      <w:pPr>
        <w:ind w:right="60" w:firstLine="549"/>
        <w:spacing w:after="0" w:line="272" w:lineRule="auto"/>
        <w:rPr>
          <w:sz w:val="20"/>
          <w:szCs w:val="20"/>
          <w:color w:val="auto"/>
        </w:rPr>
      </w:pPr>
      <w:r>
        <w:rPr>
          <w:rFonts w:ascii="Times New Roman" w:cs="Times New Roman" w:eastAsia="Times New Roman" w:hAnsi="Times New Roman"/>
          <w:sz w:val="15"/>
          <w:szCs w:val="15"/>
          <w:color w:val="auto"/>
        </w:rPr>
        <w:t>The consolidated financial statements of the Company as of and for the year ended December 31, 2024 incorporated by reference in this prospectus supplement have been audited by dbbmckennon, an independent registered public accounting firm, as set forth in their report thereon, which is also incorporated by reference herein, and are incorporated by reference in reliance upon such report given on the authority of such firm as experts in accounting and auditing.</w:t>
      </w:r>
    </w:p>
    <w:p>
      <w:pPr>
        <w:spacing w:after="0" w:line="146" w:lineRule="exact"/>
        <w:rPr>
          <w:sz w:val="20"/>
          <w:szCs w:val="20"/>
          <w:color w:val="auto"/>
        </w:rPr>
      </w:pPr>
    </w:p>
    <w:p>
      <w:pPr>
        <w:ind w:right="120" w:firstLine="549"/>
        <w:spacing w:after="0" w:line="272" w:lineRule="auto"/>
        <w:rPr>
          <w:sz w:val="20"/>
          <w:szCs w:val="20"/>
          <w:color w:val="auto"/>
        </w:rPr>
      </w:pPr>
      <w:r>
        <w:rPr>
          <w:rFonts w:ascii="Times New Roman" w:cs="Times New Roman" w:eastAsia="Times New Roman" w:hAnsi="Times New Roman"/>
          <w:sz w:val="15"/>
          <w:szCs w:val="15"/>
          <w:color w:val="auto"/>
        </w:rPr>
        <w:t>The consolidated financial statements of the Diligent Robotics, Inc. as of and for the year ended December 31, 2025 incorporated by reference in this prospectus supplement have been audited by dbbmckennon, an independent registered public accounting firm, as set forth in their report thereon, which is also incorporated by reference herein, and are incorporated by reference in reliance upon such report given on the authority of such firm as experts in accounting and auditing.</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5" w:right="379" w:bottom="1440" w:gutter="0" w:footer="0" w:header="0"/>
        </w:sectPr>
      </w:pPr>
    </w:p>
    <w:bookmarkStart w:id="55" w:name="page56"/>
    <w:bookmarkEnd w:id="5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Up to $150,000,000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2793365</wp:posOffset>
            </wp:positionH>
            <wp:positionV relativeFrom="paragraph">
              <wp:posOffset>134620</wp:posOffset>
            </wp:positionV>
            <wp:extent cx="1555750" cy="581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555750" cy="58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00" w:type="dxa"/>
            <w:vAlign w:val="bottom"/>
          </w:tcPr>
          <w:p>
            <w:pPr>
              <w:spacing w:after="0"/>
              <w:rPr>
                <w:sz w:val="17"/>
                <w:szCs w:val="17"/>
                <w:color w:val="auto"/>
              </w:rPr>
            </w:pPr>
          </w:p>
        </w:tc>
        <w:tc>
          <w:tcPr>
            <w:tcW w:w="3340" w:type="dxa"/>
            <w:vAlign w:val="bottom"/>
          </w:tcPr>
          <w:p>
            <w:pPr>
              <w:jc w:val="center"/>
              <w:ind w:left="816"/>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4420" w:type="dxa"/>
            <w:vAlign w:val="bottom"/>
          </w:tcPr>
          <w:p>
            <w:pPr>
              <w:spacing w:after="0"/>
              <w:rPr>
                <w:sz w:val="17"/>
                <w:szCs w:val="17"/>
                <w:color w:val="auto"/>
              </w:rPr>
            </w:pPr>
          </w:p>
        </w:tc>
      </w:tr>
      <w:tr>
        <w:trPr>
          <w:trHeight w:val="366"/>
        </w:trPr>
        <w:tc>
          <w:tcPr>
            <w:tcW w:w="3500" w:type="dxa"/>
            <w:vAlign w:val="bottom"/>
          </w:tcPr>
          <w:p>
            <w:pPr>
              <w:spacing w:after="0"/>
              <w:rPr>
                <w:sz w:val="24"/>
                <w:szCs w:val="24"/>
                <w:color w:val="auto"/>
              </w:rPr>
            </w:pPr>
          </w:p>
        </w:tc>
        <w:tc>
          <w:tcPr>
            <w:tcW w:w="3340" w:type="dxa"/>
            <w:vAlign w:val="bottom"/>
          </w:tcPr>
          <w:p>
            <w:pPr>
              <w:jc w:val="center"/>
              <w:ind w:left="816"/>
              <w:spacing w:after="0"/>
              <w:rPr>
                <w:sz w:val="20"/>
                <w:szCs w:val="20"/>
                <w:color w:val="auto"/>
              </w:rPr>
            </w:pPr>
            <w:r>
              <w:rPr>
                <w:rFonts w:ascii="Times New Roman" w:cs="Times New Roman" w:eastAsia="Times New Roman" w:hAnsi="Times New Roman"/>
                <w:sz w:val="15"/>
                <w:szCs w:val="15"/>
                <w:b w:val="1"/>
                <w:bCs w:val="1"/>
                <w:color w:val="auto"/>
              </w:rPr>
              <w:t>PROSPECTUS SUPPLEMENT</w:t>
            </w:r>
          </w:p>
        </w:tc>
        <w:tc>
          <w:tcPr>
            <w:tcW w:w="4420" w:type="dxa"/>
            <w:vAlign w:val="bottom"/>
          </w:tcPr>
          <w:p>
            <w:pPr>
              <w:spacing w:after="0"/>
              <w:rPr>
                <w:sz w:val="24"/>
                <w:szCs w:val="24"/>
                <w:color w:val="auto"/>
              </w:rPr>
            </w:pPr>
          </w:p>
        </w:tc>
      </w:tr>
      <w:tr>
        <w:trPr>
          <w:trHeight w:val="442"/>
        </w:trPr>
        <w:tc>
          <w:tcPr>
            <w:tcW w:w="3500" w:type="dxa"/>
            <w:vAlign w:val="bottom"/>
          </w:tcPr>
          <w:p>
            <w:pPr>
              <w:ind w:left="1280"/>
              <w:spacing w:after="0"/>
              <w:rPr>
                <w:sz w:val="20"/>
                <w:szCs w:val="20"/>
                <w:color w:val="auto"/>
              </w:rPr>
            </w:pPr>
            <w:r>
              <w:rPr>
                <w:rFonts w:ascii="Times New Roman" w:cs="Times New Roman" w:eastAsia="Times New Roman" w:hAnsi="Times New Roman"/>
                <w:sz w:val="21"/>
                <w:szCs w:val="21"/>
                <w:b w:val="1"/>
                <w:bCs w:val="1"/>
                <w:color w:val="auto"/>
              </w:rPr>
              <w:t>Evercore ISI</w:t>
            </w:r>
          </w:p>
        </w:tc>
        <w:tc>
          <w:tcPr>
            <w:tcW w:w="3340" w:type="dxa"/>
            <w:vAlign w:val="bottom"/>
          </w:tcPr>
          <w:p>
            <w:pPr>
              <w:jc w:val="center"/>
              <w:ind w:left="836"/>
              <w:spacing w:after="0"/>
              <w:rPr>
                <w:sz w:val="20"/>
                <w:szCs w:val="20"/>
                <w:color w:val="auto"/>
              </w:rPr>
            </w:pPr>
            <w:r>
              <w:rPr>
                <w:rFonts w:ascii="Times New Roman" w:cs="Times New Roman" w:eastAsia="Times New Roman" w:hAnsi="Times New Roman"/>
                <w:sz w:val="21"/>
                <w:szCs w:val="21"/>
                <w:b w:val="1"/>
                <w:bCs w:val="1"/>
                <w:color w:val="auto"/>
              </w:rPr>
              <w:t>Guggenheim Securities</w:t>
            </w:r>
          </w:p>
        </w:tc>
        <w:tc>
          <w:tcPr>
            <w:tcW w:w="4420" w:type="dxa"/>
            <w:vAlign w:val="bottom"/>
          </w:tcPr>
          <w:p>
            <w:pPr>
              <w:ind w:left="1640"/>
              <w:spacing w:after="0"/>
              <w:rPr>
                <w:sz w:val="20"/>
                <w:szCs w:val="20"/>
                <w:color w:val="auto"/>
              </w:rPr>
            </w:pPr>
            <w:r>
              <w:rPr>
                <w:rFonts w:ascii="Times New Roman" w:cs="Times New Roman" w:eastAsia="Times New Roman" w:hAnsi="Times New Roman"/>
                <w:sz w:val="21"/>
                <w:szCs w:val="21"/>
                <w:b w:val="1"/>
                <w:bCs w:val="1"/>
                <w:color w:val="auto"/>
              </w:rPr>
              <w:t>Oppenheimer &amp; Co.</w:t>
            </w:r>
          </w:p>
        </w:tc>
      </w:tr>
      <w:tr>
        <w:trPr>
          <w:trHeight w:val="435"/>
        </w:trPr>
        <w:tc>
          <w:tcPr>
            <w:tcW w:w="6840" w:type="dxa"/>
            <w:vAlign w:val="bottom"/>
            <w:gridSpan w:val="2"/>
          </w:tcPr>
          <w:p>
            <w:pPr>
              <w:jc w:val="right"/>
              <w:ind w:right="2116"/>
              <w:spacing w:after="0"/>
              <w:rPr>
                <w:sz w:val="20"/>
                <w:szCs w:val="20"/>
                <w:color w:val="auto"/>
              </w:rPr>
            </w:pPr>
            <w:r>
              <w:rPr>
                <w:rFonts w:ascii="Times New Roman" w:cs="Times New Roman" w:eastAsia="Times New Roman" w:hAnsi="Times New Roman"/>
                <w:sz w:val="21"/>
                <w:szCs w:val="21"/>
                <w:b w:val="1"/>
                <w:bCs w:val="1"/>
                <w:color w:val="auto"/>
              </w:rPr>
              <w:t>Northland Capital Markets</w:t>
            </w:r>
          </w:p>
        </w:tc>
        <w:tc>
          <w:tcPr>
            <w:tcW w:w="4420" w:type="dxa"/>
            <w:vAlign w:val="bottom"/>
          </w:tcPr>
          <w:p>
            <w:pPr>
              <w:ind w:left="140"/>
              <w:spacing w:after="0"/>
              <w:rPr>
                <w:sz w:val="20"/>
                <w:szCs w:val="20"/>
                <w:color w:val="auto"/>
              </w:rPr>
            </w:pPr>
            <w:r>
              <w:rPr>
                <w:rFonts w:ascii="Times New Roman" w:cs="Times New Roman" w:eastAsia="Times New Roman" w:hAnsi="Times New Roman"/>
                <w:sz w:val="21"/>
                <w:szCs w:val="21"/>
                <w:b w:val="1"/>
                <w:bCs w:val="1"/>
                <w:color w:val="auto"/>
              </w:rPr>
              <w:t>Wedbush Securities</w:t>
            </w:r>
          </w:p>
        </w:tc>
      </w:tr>
      <w:tr>
        <w:trPr>
          <w:trHeight w:val="360"/>
        </w:trPr>
        <w:tc>
          <w:tcPr>
            <w:tcW w:w="3500" w:type="dxa"/>
            <w:vAlign w:val="bottom"/>
          </w:tcPr>
          <w:p>
            <w:pPr>
              <w:spacing w:after="0"/>
              <w:rPr>
                <w:sz w:val="24"/>
                <w:szCs w:val="24"/>
                <w:color w:val="auto"/>
              </w:rPr>
            </w:pPr>
          </w:p>
        </w:tc>
        <w:tc>
          <w:tcPr>
            <w:tcW w:w="3340" w:type="dxa"/>
            <w:vAlign w:val="bottom"/>
          </w:tcPr>
          <w:p>
            <w:pPr>
              <w:jc w:val="right"/>
              <w:ind w:right="816"/>
              <w:spacing w:after="0"/>
              <w:rPr>
                <w:sz w:val="20"/>
                <w:szCs w:val="20"/>
                <w:color w:val="auto"/>
              </w:rPr>
            </w:pPr>
            <w:r>
              <w:rPr>
                <w:rFonts w:ascii="Times New Roman" w:cs="Times New Roman" w:eastAsia="Times New Roman" w:hAnsi="Times New Roman"/>
                <w:sz w:val="15"/>
                <w:szCs w:val="15"/>
                <w:b w:val="1"/>
                <w:bCs w:val="1"/>
                <w:color w:val="auto"/>
              </w:rPr>
              <w:t>, 2026</w:t>
            </w:r>
          </w:p>
        </w:tc>
        <w:tc>
          <w:tcPr>
            <w:tcW w:w="4420" w:type="dxa"/>
            <w:vAlign w:val="bottom"/>
          </w:tcPr>
          <w:p>
            <w:pPr>
              <w:spacing w:after="0"/>
              <w:rPr>
                <w:sz w:val="24"/>
                <w:szCs w:val="24"/>
                <w:color w:val="auto"/>
              </w:rPr>
            </w:pPr>
          </w:p>
        </w:tc>
      </w:tr>
      <w:tr>
        <w:trPr>
          <w:trHeight w:val="575"/>
        </w:trPr>
        <w:tc>
          <w:tcPr>
            <w:tcW w:w="35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5" w:right="319" w:bottom="1440" w:gutter="0" w:footer="0" w:header="0"/>
        </w:sectPr>
      </w:pPr>
    </w:p>
    <w:bookmarkStart w:id="56" w:name="page57"/>
    <w:bookmarkEnd w:id="56"/>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INFORMATION NOT REQUIRED IN PROSPECTUS</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14. Other expenses of issuance and distribution</w:t>
      </w:r>
    </w:p>
    <w:p>
      <w:pPr>
        <w:spacing w:after="0" w:line="198" w:lineRule="exact"/>
        <w:rPr>
          <w:sz w:val="20"/>
          <w:szCs w:val="20"/>
          <w:color w:val="auto"/>
        </w:rPr>
      </w:pPr>
    </w:p>
    <w:p>
      <w:pPr>
        <w:ind w:left="8" w:right="100" w:firstLine="549"/>
        <w:spacing w:after="0" w:line="290" w:lineRule="auto"/>
        <w:rPr>
          <w:sz w:val="20"/>
          <w:szCs w:val="20"/>
          <w:color w:val="auto"/>
        </w:rPr>
      </w:pPr>
      <w:r>
        <w:rPr>
          <w:rFonts w:ascii="Times New Roman" w:cs="Times New Roman" w:eastAsia="Times New Roman" w:hAnsi="Times New Roman"/>
          <w:sz w:val="15"/>
          <w:szCs w:val="15"/>
          <w:color w:val="auto"/>
        </w:rPr>
        <w:t>The following table sets forth all expenses, other than the underwriting discounts and commissions, payable by us in connection with this offering. All the amounts shown are estimates except for the registration fee payable to the SEC and FINRA.</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 registration fee</w:t>
            </w:r>
          </w:p>
        </w:tc>
        <w:tc>
          <w:tcPr>
            <w:tcW w:w="30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26,404.39**</w:t>
            </w:r>
          </w:p>
        </w:tc>
      </w:tr>
      <w:tr>
        <w:trPr>
          <w:trHeight w:val="183"/>
        </w:trPr>
        <w:tc>
          <w:tcPr>
            <w:tcW w:w="9980" w:type="dxa"/>
            <w:vAlign w:val="bottom"/>
          </w:tcPr>
          <w:p>
            <w:pPr>
              <w:spacing w:after="0"/>
              <w:rPr>
                <w:sz w:val="20"/>
                <w:szCs w:val="20"/>
                <w:color w:val="auto"/>
              </w:rPr>
            </w:pPr>
            <w:r>
              <w:rPr>
                <w:rFonts w:ascii="Times New Roman" w:cs="Times New Roman" w:eastAsia="Times New Roman" w:hAnsi="Times New Roman"/>
                <w:sz w:val="15"/>
                <w:szCs w:val="15"/>
                <w:color w:val="auto"/>
              </w:rPr>
              <w:t>FINRA filing fee</w:t>
            </w:r>
          </w:p>
        </w:tc>
        <w:tc>
          <w:tcPr>
            <w:tcW w:w="30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29,179.64</w:t>
            </w:r>
          </w:p>
        </w:tc>
      </w:tr>
      <w:tr>
        <w:trPr>
          <w:trHeight w:val="18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Accounting fees and expenses</w:t>
            </w: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9980" w:type="dxa"/>
            <w:vAlign w:val="bottom"/>
          </w:tcPr>
          <w:p>
            <w:pPr>
              <w:spacing w:after="0"/>
              <w:rPr>
                <w:sz w:val="20"/>
                <w:szCs w:val="20"/>
                <w:color w:val="auto"/>
              </w:rPr>
            </w:pPr>
            <w:r>
              <w:rPr>
                <w:rFonts w:ascii="Times New Roman" w:cs="Times New Roman" w:eastAsia="Times New Roman" w:hAnsi="Times New Roman"/>
                <w:sz w:val="15"/>
                <w:szCs w:val="15"/>
                <w:color w:val="auto"/>
              </w:rPr>
              <w:t>Legal fees and expenses</w:t>
            </w:r>
          </w:p>
        </w:tc>
        <w:tc>
          <w:tcPr>
            <w:tcW w:w="300" w:type="dxa"/>
            <w:vAlign w:val="bottom"/>
          </w:tcPr>
          <w:p>
            <w:pPr>
              <w:spacing w:after="0"/>
              <w:rPr>
                <w:sz w:val="15"/>
                <w:szCs w:val="15"/>
                <w:color w:val="auto"/>
              </w:rPr>
            </w:pP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Printing fees</w:t>
            </w:r>
          </w:p>
        </w:tc>
        <w:tc>
          <w:tcPr>
            <w:tcW w:w="3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9980" w:type="dxa"/>
            <w:vAlign w:val="bottom"/>
          </w:tcPr>
          <w:p>
            <w:pPr>
              <w:spacing w:after="0"/>
              <w:rPr>
                <w:sz w:val="20"/>
                <w:szCs w:val="20"/>
                <w:color w:val="auto"/>
              </w:rPr>
            </w:pPr>
            <w:r>
              <w:rPr>
                <w:rFonts w:ascii="Times New Roman" w:cs="Times New Roman" w:eastAsia="Times New Roman" w:hAnsi="Times New Roman"/>
                <w:sz w:val="15"/>
                <w:szCs w:val="15"/>
                <w:color w:val="auto"/>
              </w:rPr>
              <w:t>Transfer agent, trustee and warrant agent fees and expenses</w:t>
            </w:r>
          </w:p>
        </w:tc>
        <w:tc>
          <w:tcPr>
            <w:tcW w:w="300" w:type="dxa"/>
            <w:vAlign w:val="bottom"/>
          </w:tcPr>
          <w:p>
            <w:pPr>
              <w:spacing w:after="0"/>
              <w:rPr>
                <w:sz w:val="15"/>
                <w:szCs w:val="15"/>
                <w:color w:val="auto"/>
              </w:rPr>
            </w:pPr>
          </w:p>
        </w:tc>
        <w:tc>
          <w:tcPr>
            <w:tcW w:w="9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215"/>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Miscellaneous fees and expenses</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92"/>
        </w:trPr>
        <w:tc>
          <w:tcPr>
            <w:tcW w:w="9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CCEEFF"/>
            </w:tcBorders>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9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78816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788160" cy="14605"/>
                    </a:xfrm>
                    <a:prstGeom prst="rect">
                      <a:avLst/>
                    </a:prstGeom>
                    <a:noFill/>
                  </pic:spPr>
                </pic:pic>
              </a:graphicData>
            </a:graphic>
          </wp:anchor>
        </w:drawing>
      </w:r>
    </w:p>
    <w:p>
      <w:pPr>
        <w:spacing w:after="0" w:line="183" w:lineRule="exact"/>
        <w:rPr>
          <w:sz w:val="20"/>
          <w:szCs w:val="20"/>
          <w:color w:val="auto"/>
        </w:rPr>
      </w:pPr>
    </w:p>
    <w:p>
      <w:pPr>
        <w:ind w:left="268" w:hanging="268"/>
        <w:spacing w:after="0" w:line="290" w:lineRule="auto"/>
        <w:tabs>
          <w:tab w:leader="none" w:pos="268"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fees and expenses depend on the securities offered and the number of issuances and accordingly cannot be estimated at this time. The applicable prospectus supplement will set forth the estimated amount of expenses of any offering of securities.</w:t>
      </w:r>
    </w:p>
    <w:p>
      <w:pPr>
        <w:spacing w:after="0" w:line="133" w:lineRule="exact"/>
        <w:rPr>
          <w:sz w:val="20"/>
          <w:szCs w:val="20"/>
          <w:color w:val="auto"/>
        </w:rPr>
      </w:pPr>
    </w:p>
    <w:p>
      <w:pPr>
        <w:ind w:left="8"/>
        <w:spacing w:after="0"/>
        <w:tabs>
          <w:tab w:leader="none" w:pos="248" w:val="left"/>
        </w:tabs>
        <w:rPr>
          <w:sz w:val="20"/>
          <w:szCs w:val="20"/>
          <w:color w:val="auto"/>
        </w:rPr>
      </w:pPr>
      <w:r>
        <w:rPr>
          <w:rFonts w:ascii="Times New Roman" w:cs="Times New Roman" w:eastAsia="Times New Roman" w:hAnsi="Times New Roman"/>
          <w:sz w:val="15"/>
          <w:szCs w:val="15"/>
          <w:color w:val="auto"/>
        </w:rPr>
        <w:t>**</w:t>
        <w:tab/>
        <w:t>Excludes the registration fee previously paid in connection with unsold securities pursuant to Rule 457(p).</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15. Indemnification of Directors and Officers</w:t>
      </w:r>
    </w:p>
    <w:p>
      <w:pPr>
        <w:spacing w:after="0" w:line="198" w:lineRule="exact"/>
        <w:rPr>
          <w:sz w:val="20"/>
          <w:szCs w:val="20"/>
          <w:color w:val="auto"/>
        </w:rPr>
      </w:pPr>
    </w:p>
    <w:p>
      <w:pPr>
        <w:ind w:left="8" w:right="240" w:firstLine="549"/>
        <w:spacing w:after="0" w:line="272" w:lineRule="auto"/>
        <w:rPr>
          <w:sz w:val="20"/>
          <w:szCs w:val="20"/>
          <w:color w:val="auto"/>
        </w:rPr>
      </w:pPr>
      <w:r>
        <w:rPr>
          <w:rFonts w:ascii="Times New Roman" w:cs="Times New Roman" w:eastAsia="Times New Roman" w:hAnsi="Times New Roman"/>
          <w:sz w:val="15"/>
          <w:szCs w:val="15"/>
          <w:color w:val="auto"/>
        </w:rPr>
        <w:t>Section 145 of the General Corporation Law of the State of Delaware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46" w:lineRule="exact"/>
        <w:rPr>
          <w:sz w:val="20"/>
          <w:szCs w:val="20"/>
          <w:color w:val="auto"/>
        </w:rPr>
      </w:pPr>
    </w:p>
    <w:p>
      <w:pPr>
        <w:ind w:left="8" w:right="480" w:firstLine="549"/>
        <w:spacing w:after="0" w:line="290" w:lineRule="auto"/>
        <w:rPr>
          <w:sz w:val="20"/>
          <w:szCs w:val="20"/>
          <w:color w:val="auto"/>
        </w:rPr>
      </w:pPr>
      <w:r>
        <w:rPr>
          <w:rFonts w:ascii="Times New Roman" w:cs="Times New Roman" w:eastAsia="Times New Roman" w:hAnsi="Times New Roman"/>
          <w:sz w:val="15"/>
          <w:szCs w:val="15"/>
          <w:color w:val="auto"/>
        </w:rPr>
        <w:t>As permitted by the DGCL, the Registrant’s amended and restated certificate of incorporation contains provisions that eliminate the personal liability of its directors for monetary damages for any breach of fiduciary duties as a director, except liability for the following:</w:t>
      </w:r>
    </w:p>
    <w:p>
      <w:pPr>
        <w:spacing w:after="0" w:line="133" w:lineRule="exact"/>
        <w:rPr>
          <w:sz w:val="20"/>
          <w:szCs w:val="20"/>
          <w:color w:val="auto"/>
        </w:rPr>
      </w:pPr>
    </w:p>
    <w:p>
      <w:pPr>
        <w:ind w:left="828" w:hanging="279"/>
        <w:spacing w:after="0"/>
        <w:tabs>
          <w:tab w:leader="none" w:pos="828"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breach of the director’s duty of loyalty to the Registrant or its stockholders;</w:t>
      </w:r>
    </w:p>
    <w:p>
      <w:pPr>
        <w:spacing w:after="0" w:line="193" w:lineRule="exact"/>
        <w:rPr>
          <w:rFonts w:ascii="Times New Roman" w:cs="Times New Roman" w:eastAsia="Times New Roman" w:hAnsi="Times New Roman"/>
          <w:sz w:val="15"/>
          <w:szCs w:val="15"/>
          <w:color w:val="auto"/>
        </w:rPr>
      </w:pPr>
    </w:p>
    <w:p>
      <w:pPr>
        <w:ind w:left="828" w:hanging="279"/>
        <w:spacing w:after="0"/>
        <w:tabs>
          <w:tab w:leader="none" w:pos="828"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acts or omissions not in good faith or that involve intentional misconduct or a knowing violation of law;</w:t>
      </w:r>
    </w:p>
    <w:p>
      <w:pPr>
        <w:spacing w:after="0" w:line="193" w:lineRule="exact"/>
        <w:rPr>
          <w:rFonts w:ascii="Times New Roman" w:cs="Times New Roman" w:eastAsia="Times New Roman" w:hAnsi="Times New Roman"/>
          <w:sz w:val="15"/>
          <w:szCs w:val="15"/>
          <w:color w:val="auto"/>
        </w:rPr>
      </w:pPr>
    </w:p>
    <w:p>
      <w:pPr>
        <w:ind w:left="828" w:hanging="279"/>
        <w:spacing w:after="0"/>
        <w:tabs>
          <w:tab w:leader="none" w:pos="828"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 Section 174 of the DGCL (regarding unlawful dividends and stock purchases); or</w:t>
      </w:r>
    </w:p>
    <w:p>
      <w:pPr>
        <w:spacing w:after="0" w:line="193" w:lineRule="exact"/>
        <w:rPr>
          <w:rFonts w:ascii="Times New Roman" w:cs="Times New Roman" w:eastAsia="Times New Roman" w:hAnsi="Times New Roman"/>
          <w:sz w:val="15"/>
          <w:szCs w:val="15"/>
          <w:color w:val="auto"/>
        </w:rPr>
      </w:pPr>
    </w:p>
    <w:p>
      <w:pPr>
        <w:ind w:left="828" w:hanging="279"/>
        <w:spacing w:after="0"/>
        <w:tabs>
          <w:tab w:leader="none" w:pos="828"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from which the director derived an improper personal benefit.</w:t>
      </w:r>
    </w:p>
    <w:p>
      <w:pPr>
        <w:spacing w:after="0" w:line="194" w:lineRule="exact"/>
        <w:rPr>
          <w:sz w:val="20"/>
          <w:szCs w:val="20"/>
          <w:color w:val="auto"/>
        </w:rPr>
      </w:pPr>
    </w:p>
    <w:p>
      <w:pPr>
        <w:ind w:left="8" w:right="20" w:firstLine="549"/>
        <w:spacing w:after="0" w:line="263" w:lineRule="auto"/>
        <w:rPr>
          <w:sz w:val="20"/>
          <w:szCs w:val="20"/>
          <w:color w:val="auto"/>
        </w:rPr>
      </w:pPr>
      <w:r>
        <w:rPr>
          <w:rFonts w:ascii="Times New Roman" w:cs="Times New Roman" w:eastAsia="Times New Roman" w:hAnsi="Times New Roman"/>
          <w:sz w:val="15"/>
          <w:szCs w:val="15"/>
          <w:color w:val="auto"/>
        </w:rPr>
        <w:t>We have entered into indemnification agreements with each of our current directors and executive officers to provide these directors and executive officers additional contractual assurances regarding the scope of the indemnification set forth in our amended and restated certificate of incorporation and amended and restated bylaws, and to provide additional procedural protections. There is no pending litigation or proceeding involving any of our directors or executive officers for which indemnification is sought. The indemnification provisions in our amended and restated certificate of incorporation, amended and restated bylaws, and the indemnification agreements entered into between us and each of our directors and executive officers may be sufficiently broad to permit indemnification of our directors and executive officers for liabilities arising under the Securities Act.</w:t>
      </w:r>
    </w:p>
    <w:p>
      <w:pPr>
        <w:spacing w:after="0" w:line="154" w:lineRule="exact"/>
        <w:rPr>
          <w:sz w:val="20"/>
          <w:szCs w:val="20"/>
          <w:color w:val="auto"/>
        </w:rPr>
      </w:pPr>
    </w:p>
    <w:p>
      <w:pPr>
        <w:ind w:left="8" w:right="20" w:firstLine="549"/>
        <w:spacing w:after="0" w:line="272" w:lineRule="auto"/>
        <w:rPr>
          <w:sz w:val="20"/>
          <w:szCs w:val="20"/>
          <w:color w:val="auto"/>
        </w:rPr>
      </w:pPr>
      <w:r>
        <w:rPr>
          <w:rFonts w:ascii="Times New Roman" w:cs="Times New Roman" w:eastAsia="Times New Roman" w:hAnsi="Times New Roman"/>
          <w:sz w:val="15"/>
          <w:szCs w:val="15"/>
          <w:color w:val="auto"/>
        </w:rPr>
        <w:t>We also maintain standard insurance policies under which coverage is provided (a) to our directors and officers against loss arising from claims made by reason of breach of duty or other wrongful act, and (b) to us, with respect to payments which may be made by us to such officers and directors pursuant to the above indemnification provision or otherwise as a matter of law. Certain of our directors are also indemnified by their employers with regard to their service on our board of directors.</w:t>
      </w:r>
    </w:p>
    <w:p>
      <w:pPr>
        <w:spacing w:after="0" w:line="3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3275"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5" w:right="319" w:bottom="1440" w:gutter="0" w:footer="0" w:header="0"/>
        </w:sectPr>
      </w:pPr>
    </w:p>
    <w:bookmarkStart w:id="57" w:name="page58"/>
    <w:bookmarkEnd w:id="57"/>
    <w:p>
      <w:pPr>
        <w:ind w:left="8"/>
        <w:spacing w:after="0"/>
        <w:rPr>
          <w:sz w:val="20"/>
          <w:szCs w:val="20"/>
          <w:color w:val="auto"/>
        </w:rPr>
      </w:pPr>
      <w:r>
        <w:rPr>
          <w:rFonts w:ascii="Times New Roman" w:cs="Times New Roman" w:eastAsia="Times New Roman" w:hAnsi="Times New Roman"/>
          <w:sz w:val="15"/>
          <w:szCs w:val="15"/>
          <w:b w:val="1"/>
          <w:bCs w:val="1"/>
          <w:color w:val="auto"/>
        </w:rPr>
        <w:t>Item 16. Exhibits and Financial Statement Schedules</w:t>
      </w:r>
    </w:p>
    <w:p>
      <w:pPr>
        <w:spacing w:after="0" w:line="198" w:lineRule="exact"/>
        <w:rPr>
          <w:sz w:val="20"/>
          <w:szCs w:val="20"/>
          <w:color w:val="auto"/>
        </w:rPr>
      </w:pPr>
    </w:p>
    <w:p>
      <w:pPr>
        <w:ind w:left="548" w:hanging="548"/>
        <w:spacing w:after="0"/>
        <w:tabs>
          <w:tab w:leader="none" w:pos="548"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exhibits are filed herewith or incorporated herein by reference:</w:t>
      </w:r>
    </w:p>
    <w:p>
      <w:pPr>
        <w:spacing w:after="0" w:line="200" w:lineRule="exact"/>
        <w:rPr>
          <w:sz w:val="20"/>
          <w:szCs w:val="20"/>
          <w:color w:val="auto"/>
        </w:rPr>
      </w:pPr>
    </w:p>
    <w:p>
      <w:pPr>
        <w:spacing w:after="0" w:line="219"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10140" w:type="dxa"/>
            <w:vAlign w:val="bottom"/>
            <w:gridSpan w:val="22"/>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83"/>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top w:val="single" w:sz="8" w:color="CCEEFF"/>
            </w:tcBorders>
            <w:shd w:val="clear" w:color="auto" w:fill="CCEEFF"/>
          </w:tcPr>
          <w:p>
            <w:pPr>
              <w:spacing w:after="0"/>
              <w:rPr>
                <w:sz w:val="15"/>
                <w:szCs w:val="15"/>
                <w:color w:val="auto"/>
              </w:rPr>
            </w:pPr>
          </w:p>
        </w:tc>
        <w:tc>
          <w:tcPr>
            <w:tcW w:w="10140" w:type="dxa"/>
            <w:vAlign w:val="bottom"/>
            <w:tcBorders>
              <w:top w:val="single" w:sz="8" w:color="auto"/>
            </w:tcBorders>
            <w:gridSpan w:val="22"/>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Underwriting Agreement</w:t>
            </w:r>
          </w:p>
        </w:tc>
      </w:tr>
      <w:tr>
        <w:trPr>
          <w:trHeight w:val="149"/>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2"/>
                <w:szCs w:val="12"/>
                <w:color w:val="auto"/>
              </w:rPr>
            </w:pPr>
          </w:p>
        </w:tc>
        <w:tc>
          <w:tcPr>
            <w:tcW w:w="10000" w:type="dxa"/>
            <w:vAlign w:val="bottom"/>
            <w:tcBorders>
              <w:bottom w:val="single" w:sz="8" w:color="0000EE"/>
            </w:tcBorders>
            <w:gridSpan w:val="20"/>
          </w:tcPr>
          <w:p>
            <w:pPr>
              <w:spacing w:after="0" w:line="149" w:lineRule="exact"/>
              <w:rPr>
                <w:sz w:val="20"/>
                <w:szCs w:val="20"/>
                <w:color w:val="auto"/>
              </w:rPr>
            </w:pPr>
            <w:r>
              <w:rPr>
                <w:rFonts w:ascii="Times New Roman" w:cs="Times New Roman" w:eastAsia="Times New Roman" w:hAnsi="Times New Roman"/>
                <w:sz w:val="15"/>
                <w:szCs w:val="15"/>
                <w:color w:val="0000EE"/>
              </w:rPr>
              <w:t>Sales Agreement, dated May 11, 2026, by and among the Company and Evercore Group L.L.C., Guggenheim Securities, LLC, Oppenheimer &amp; Co. Inc., Northland</w:t>
            </w:r>
          </w:p>
        </w:tc>
        <w:tc>
          <w:tcPr>
            <w:tcW w:w="140" w:type="dxa"/>
            <w:vAlign w:val="bottom"/>
            <w:gridSpan w:val="2"/>
          </w:tcPr>
          <w:p>
            <w:pPr>
              <w:spacing w:after="0"/>
              <w:rPr>
                <w:sz w:val="12"/>
                <w:szCs w:val="12"/>
                <w:color w:val="auto"/>
              </w:rPr>
            </w:pPr>
          </w:p>
        </w:tc>
      </w:tr>
      <w:tr>
        <w:trPr>
          <w:trHeight w:val="163"/>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22"/>
          </w:tcPr>
          <w:p>
            <w:pPr>
              <w:spacing w:after="0" w:line="164" w:lineRule="exact"/>
              <w:rPr>
                <w:sz w:val="20"/>
                <w:szCs w:val="20"/>
                <w:color w:val="auto"/>
              </w:rPr>
            </w:pPr>
            <w:r>
              <w:rPr>
                <w:rFonts w:ascii="Times New Roman" w:cs="Times New Roman" w:eastAsia="Times New Roman" w:hAnsi="Times New Roman"/>
                <w:sz w:val="15"/>
                <w:szCs w:val="15"/>
                <w:color w:val="0000EE"/>
              </w:rPr>
              <w:t>Securities, Inc. and Wedbush Securities Inc.</w:t>
            </w:r>
          </w:p>
        </w:tc>
      </w:tr>
      <w:tr>
        <w:trPr>
          <w:trHeight w:val="27"/>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580" w:type="dxa"/>
            <w:vAlign w:val="bottom"/>
            <w:tcBorders>
              <w:lef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2.1§</w:t>
            </w:r>
          </w:p>
        </w:tc>
        <w:tc>
          <w:tcPr>
            <w:tcW w:w="100" w:type="dxa"/>
            <w:vAlign w:val="bottom"/>
            <w:shd w:val="clear" w:color="auto" w:fill="CCEEFF"/>
          </w:tcPr>
          <w:p>
            <w:pPr>
              <w:spacing w:after="0"/>
              <w:rPr>
                <w:sz w:val="13"/>
                <w:szCs w:val="13"/>
                <w:color w:val="auto"/>
              </w:rPr>
            </w:pPr>
          </w:p>
        </w:tc>
        <w:tc>
          <w:tcPr>
            <w:tcW w:w="10140" w:type="dxa"/>
            <w:vAlign w:val="bottom"/>
            <w:gridSpan w:val="22"/>
            <w:shd w:val="clear" w:color="auto" w:fill="CCEEFF"/>
          </w:tcPr>
          <w:p>
            <w:pPr>
              <w:spacing w:after="0" w:line="156" w:lineRule="exact"/>
              <w:rPr>
                <w:rFonts w:ascii="Times New Roman" w:cs="Times New Roman" w:eastAsia="Times New Roman" w:hAnsi="Times New Roman"/>
                <w:sz w:val="15"/>
                <w:szCs w:val="15"/>
                <w:color w:val="0000EE"/>
              </w:rPr>
            </w:pPr>
            <w:hyperlink r:id="rId87">
              <w:r>
                <w:rPr>
                  <w:rFonts w:ascii="Times New Roman" w:cs="Times New Roman" w:eastAsia="Times New Roman" w:hAnsi="Times New Roman"/>
                  <w:sz w:val="15"/>
                  <w:szCs w:val="15"/>
                  <w:color w:val="0000EE"/>
                </w:rPr>
                <w:t>Agreement and Plan of Merger by and among Serve Robotics Inc., Serve Kitchen Robotics Inc., Vebu, Inc. and James Buckly Jordan, dated February 5, 2026</w:t>
              </w:r>
            </w:hyperlink>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20" w:type="dxa"/>
            <w:vAlign w:val="bottom"/>
            <w:tcBorders>
              <w:top w:val="single" w:sz="8" w:color="0000EE"/>
            </w:tcBorders>
            <w:gridSpan w:val="15"/>
            <w:shd w:val="clear" w:color="auto" w:fill="CCEEFF"/>
          </w:tcPr>
          <w:p>
            <w:pPr>
              <w:spacing w:after="0" w:line="164" w:lineRule="exact"/>
              <w:rPr>
                <w:rFonts w:ascii="Times New Roman" w:cs="Times New Roman" w:eastAsia="Times New Roman" w:hAnsi="Times New Roman"/>
                <w:sz w:val="15"/>
                <w:szCs w:val="15"/>
                <w:color w:val="0000EE"/>
              </w:rPr>
            </w:pPr>
            <w:hyperlink r:id="rId87">
              <w:r>
                <w:rPr>
                  <w:rFonts w:ascii="Times New Roman" w:cs="Times New Roman" w:eastAsia="Times New Roman" w:hAnsi="Times New Roman"/>
                  <w:sz w:val="15"/>
                  <w:szCs w:val="15"/>
                  <w:color w:val="0000EE"/>
                </w:rPr>
                <w:t>(incorporated by reference to Exhibit 2.1 to the Current Report on Form 8-K filed with the SEC on February 20, 2026).</w:t>
              </w:r>
            </w:hyperlink>
          </w:p>
        </w:tc>
        <w:tc>
          <w:tcPr>
            <w:tcW w:w="520" w:type="dxa"/>
            <w:vAlign w:val="bottom"/>
            <w:tcBorders>
              <w:top w:val="single" w:sz="8" w:color="CCEEFF"/>
            </w:tcBorders>
            <w:gridSpan w:val="7"/>
            <w:shd w:val="clear" w:color="auto" w:fill="CCEEFF"/>
          </w:tcPr>
          <w:p>
            <w:pPr>
              <w:spacing w:after="0"/>
              <w:rPr>
                <w:sz w:val="14"/>
                <w:szCs w:val="14"/>
                <w:color w:val="auto"/>
              </w:rPr>
            </w:pPr>
          </w:p>
        </w:tc>
      </w:tr>
      <w:tr>
        <w:trPr>
          <w:trHeight w:val="34"/>
        </w:trPr>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5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49"/>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2.2§</w:t>
            </w:r>
          </w:p>
        </w:tc>
        <w:tc>
          <w:tcPr>
            <w:tcW w:w="100" w:type="dxa"/>
            <w:vAlign w:val="bottom"/>
          </w:tcPr>
          <w:p>
            <w:pPr>
              <w:spacing w:after="0"/>
              <w:rPr>
                <w:sz w:val="12"/>
                <w:szCs w:val="12"/>
                <w:color w:val="auto"/>
              </w:rPr>
            </w:pPr>
          </w:p>
        </w:tc>
        <w:tc>
          <w:tcPr>
            <w:tcW w:w="9860" w:type="dxa"/>
            <w:vAlign w:val="bottom"/>
            <w:tcBorders>
              <w:bottom w:val="single" w:sz="8" w:color="0000EE"/>
            </w:tcBorders>
            <w:gridSpan w:val="18"/>
          </w:tcPr>
          <w:p>
            <w:pPr>
              <w:spacing w:after="0" w:line="149" w:lineRule="exact"/>
              <w:rPr>
                <w:rFonts w:ascii="Times New Roman" w:cs="Times New Roman" w:eastAsia="Times New Roman" w:hAnsi="Times New Roman"/>
                <w:sz w:val="15"/>
                <w:szCs w:val="15"/>
                <w:color w:val="0000EE"/>
              </w:rPr>
            </w:pPr>
            <w:hyperlink r:id="rId88">
              <w:r>
                <w:rPr>
                  <w:rFonts w:ascii="Times New Roman" w:cs="Times New Roman" w:eastAsia="Times New Roman" w:hAnsi="Times New Roman"/>
                  <w:sz w:val="15"/>
                  <w:szCs w:val="15"/>
                  <w:color w:val="0000EE"/>
                </w:rPr>
                <w:t>Agreement and Plan of Merger by and among Serve Robotics Inc., Delight Merger Sub, Inc., Diligent Robotics, Inc., Inc. and Andrea Thomaz, dated January 19,</w:t>
              </w:r>
            </w:hyperlink>
          </w:p>
        </w:tc>
        <w:tc>
          <w:tcPr>
            <w:tcW w:w="280" w:type="dxa"/>
            <w:vAlign w:val="bottom"/>
            <w:gridSpan w:val="4"/>
          </w:tcPr>
          <w:p>
            <w:pPr>
              <w:spacing w:after="0"/>
              <w:rPr>
                <w:sz w:val="12"/>
                <w:szCs w:val="12"/>
                <w:color w:val="auto"/>
              </w:rPr>
            </w:pPr>
          </w:p>
        </w:tc>
      </w:tr>
      <w:tr>
        <w:trPr>
          <w:trHeight w:val="163"/>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140" w:type="dxa"/>
            <w:vAlign w:val="bottom"/>
            <w:gridSpan w:val="22"/>
          </w:tcPr>
          <w:p>
            <w:pPr>
              <w:spacing w:after="0" w:line="164" w:lineRule="exact"/>
              <w:rPr>
                <w:rFonts w:ascii="Times New Roman" w:cs="Times New Roman" w:eastAsia="Times New Roman" w:hAnsi="Times New Roman"/>
                <w:sz w:val="15"/>
                <w:szCs w:val="15"/>
                <w:color w:val="0000EE"/>
              </w:rPr>
            </w:pPr>
            <w:hyperlink r:id="rId88">
              <w:r>
                <w:rPr>
                  <w:rFonts w:ascii="Times New Roman" w:cs="Times New Roman" w:eastAsia="Times New Roman" w:hAnsi="Times New Roman"/>
                  <w:sz w:val="15"/>
                  <w:szCs w:val="15"/>
                  <w:color w:val="0000EE"/>
                </w:rPr>
                <w:t>2026 (incorporated by reference to Exhibit 2.1 to the Company’s Current Report on Form 8-K filed with the SEC on January 21, 2026).</w:t>
              </w:r>
            </w:hyperlink>
          </w:p>
        </w:tc>
      </w:tr>
      <w:tr>
        <w:trPr>
          <w:trHeight w:val="27"/>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5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3"/>
                <w:szCs w:val="13"/>
                <w:color w:val="auto"/>
              </w:rPr>
            </w:pPr>
          </w:p>
        </w:tc>
        <w:tc>
          <w:tcPr>
            <w:tcW w:w="10140" w:type="dxa"/>
            <w:vAlign w:val="bottom"/>
            <w:gridSpan w:val="22"/>
            <w:shd w:val="clear" w:color="auto" w:fill="CCEEFF"/>
          </w:tcPr>
          <w:p>
            <w:pPr>
              <w:spacing w:after="0" w:line="156" w:lineRule="exact"/>
              <w:rPr>
                <w:rFonts w:ascii="Times New Roman" w:cs="Times New Roman" w:eastAsia="Times New Roman" w:hAnsi="Times New Roman"/>
                <w:sz w:val="15"/>
                <w:szCs w:val="15"/>
                <w:color w:val="0000EE"/>
              </w:rPr>
            </w:pPr>
            <w:hyperlink r:id="rId89">
              <w:r>
                <w:rPr>
                  <w:rFonts w:ascii="Times New Roman" w:cs="Times New Roman" w:eastAsia="Times New Roman" w:hAnsi="Times New Roman"/>
                  <w:sz w:val="15"/>
                  <w:szCs w:val="15"/>
                  <w:color w:val="0000EE"/>
                </w:rPr>
                <w:t>Amended and Restated Certificate of Incorporation, filed with the Secretary of State of the State of Delaware on July 31, 2023 (incorporated by reference to Exhibit</w:t>
              </w:r>
            </w:hyperlink>
          </w:p>
        </w:tc>
      </w:tr>
      <w:tr>
        <w:trPr>
          <w:trHeight w:val="178"/>
        </w:trPr>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800" w:type="dxa"/>
            <w:vAlign w:val="bottom"/>
            <w:tcBorders>
              <w:top w:val="single" w:sz="8" w:color="0000EE"/>
              <w:bottom w:val="single" w:sz="8" w:color="0000EE"/>
            </w:tcBorders>
            <w:gridSpan w:val="7"/>
            <w:shd w:val="clear" w:color="auto" w:fill="CCEEFF"/>
          </w:tcPr>
          <w:p>
            <w:pPr>
              <w:spacing w:after="0" w:line="164" w:lineRule="exact"/>
              <w:rPr>
                <w:rFonts w:ascii="Times New Roman" w:cs="Times New Roman" w:eastAsia="Times New Roman" w:hAnsi="Times New Roman"/>
                <w:sz w:val="15"/>
                <w:szCs w:val="15"/>
                <w:color w:val="0000EE"/>
              </w:rPr>
            </w:pPr>
            <w:hyperlink r:id="rId89">
              <w:r>
                <w:rPr>
                  <w:rFonts w:ascii="Times New Roman" w:cs="Times New Roman" w:eastAsia="Times New Roman" w:hAnsi="Times New Roman"/>
                  <w:sz w:val="15"/>
                  <w:szCs w:val="15"/>
                  <w:color w:val="0000EE"/>
                </w:rPr>
                <w:t>3.</w:t>
              </w:r>
              <w:r>
                <w:rPr>
                  <w:rFonts w:ascii="Times New Roman" w:cs="Times New Roman" w:eastAsia="Times New Roman" w:hAnsi="Times New Roman"/>
                  <w:sz w:val="15"/>
                  <w:szCs w:val="15"/>
                  <w:u w:val="single" w:color="auto"/>
                  <w:color w:val="0000EE"/>
                </w:rPr>
                <w:t>2</w:t>
              </w:r>
              <w:r>
                <w:rPr>
                  <w:rFonts w:ascii="Times New Roman" w:cs="Times New Roman" w:eastAsia="Times New Roman" w:hAnsi="Times New Roman"/>
                  <w:sz w:val="15"/>
                  <w:szCs w:val="15"/>
                  <w:color w:val="0000EE"/>
                </w:rPr>
                <w:t xml:space="preserve"> to the Current Report on Form 8-K filed with the SEC on August 4, 2023).</w:t>
              </w:r>
            </w:hyperlink>
          </w:p>
        </w:tc>
        <w:tc>
          <w:tcPr>
            <w:tcW w:w="5220" w:type="dxa"/>
            <w:vAlign w:val="bottom"/>
            <w:tcBorders>
              <w:top w:val="single" w:sz="8" w:color="0000EE"/>
              <w:bottom w:val="single" w:sz="8" w:color="CCEEFF"/>
            </w:tcBorders>
            <w:gridSpan w:val="14"/>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49"/>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2"/>
                <w:szCs w:val="12"/>
                <w:color w:val="auto"/>
              </w:rPr>
            </w:pPr>
          </w:p>
        </w:tc>
        <w:tc>
          <w:tcPr>
            <w:tcW w:w="10140" w:type="dxa"/>
            <w:vAlign w:val="bottom"/>
            <w:gridSpan w:val="22"/>
          </w:tcPr>
          <w:p>
            <w:pPr>
              <w:spacing w:after="0" w:line="149" w:lineRule="exact"/>
              <w:rPr>
                <w:rFonts w:ascii="Times New Roman" w:cs="Times New Roman" w:eastAsia="Times New Roman" w:hAnsi="Times New Roman"/>
                <w:sz w:val="15"/>
                <w:szCs w:val="15"/>
                <w:color w:val="0000EE"/>
              </w:rPr>
            </w:pPr>
            <w:hyperlink r:id="rId90">
              <w:r>
                <w:rPr>
                  <w:rFonts w:ascii="Times New Roman" w:cs="Times New Roman" w:eastAsia="Times New Roman" w:hAnsi="Times New Roman"/>
                  <w:sz w:val="15"/>
                  <w:szCs w:val="15"/>
                  <w:color w:val="0000EE"/>
                </w:rPr>
                <w:t>Amended and Restated Bylaws (incorporated by reference to Exhibit 3.3 to the Current Report on Form 8-K filed with the SEC on August 4, 2023).</w:t>
              </w:r>
            </w:hyperlink>
          </w:p>
        </w:tc>
      </w:tr>
      <w:tr>
        <w:trPr>
          <w:trHeight w:val="27"/>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5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3"/>
                <w:szCs w:val="13"/>
                <w:color w:val="auto"/>
              </w:rPr>
            </w:pPr>
          </w:p>
        </w:tc>
        <w:tc>
          <w:tcPr>
            <w:tcW w:w="10140" w:type="dxa"/>
            <w:vAlign w:val="bottom"/>
            <w:gridSpan w:val="22"/>
            <w:shd w:val="clear" w:color="auto" w:fill="CCEEFF"/>
          </w:tcPr>
          <w:p>
            <w:pPr>
              <w:spacing w:after="0" w:line="156" w:lineRule="exact"/>
              <w:rPr>
                <w:rFonts w:ascii="Times New Roman" w:cs="Times New Roman" w:eastAsia="Times New Roman" w:hAnsi="Times New Roman"/>
                <w:sz w:val="15"/>
                <w:szCs w:val="15"/>
                <w:color w:val="0000EE"/>
              </w:rPr>
            </w:pPr>
            <w:hyperlink r:id="rId91">
              <w:r>
                <w:rPr>
                  <w:rFonts w:ascii="Times New Roman" w:cs="Times New Roman" w:eastAsia="Times New Roman" w:hAnsi="Times New Roman"/>
                  <w:sz w:val="15"/>
                  <w:szCs w:val="15"/>
                  <w:color w:val="0000EE"/>
                </w:rPr>
                <w:t>Form of August Exchange Warrant (incorporated by reference to Exhibit 10.5 to the Current Report on Form 8-K filed with the SEC on August 28, 2024).</w:t>
              </w:r>
            </w:hyperlink>
          </w:p>
        </w:tc>
      </w:tr>
      <w:tr>
        <w:trPr>
          <w:trHeight w:val="34"/>
        </w:trPr>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5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8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49"/>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2"/>
                <w:szCs w:val="12"/>
                <w:color w:val="auto"/>
              </w:rPr>
            </w:pPr>
          </w:p>
        </w:tc>
        <w:tc>
          <w:tcPr>
            <w:tcW w:w="10140" w:type="dxa"/>
            <w:vAlign w:val="bottom"/>
            <w:gridSpan w:val="22"/>
          </w:tcPr>
          <w:p>
            <w:pPr>
              <w:spacing w:after="0" w:line="149" w:lineRule="exact"/>
              <w:rPr>
                <w:rFonts w:ascii="Times New Roman" w:cs="Times New Roman" w:eastAsia="Times New Roman" w:hAnsi="Times New Roman"/>
                <w:sz w:val="15"/>
                <w:szCs w:val="15"/>
                <w:color w:val="0000EE"/>
              </w:rPr>
            </w:pPr>
            <w:hyperlink r:id="rId92">
              <w:r>
                <w:rPr>
                  <w:rFonts w:ascii="Times New Roman" w:cs="Times New Roman" w:eastAsia="Times New Roman" w:hAnsi="Times New Roman"/>
                  <w:sz w:val="15"/>
                  <w:szCs w:val="15"/>
                  <w:color w:val="0000EE"/>
                </w:rPr>
                <w:t>Common Stock Purchase Warrant, dated as of August 15, 2025 (incorporated by reference to Exhibit 4.1 to the Current Report on Form 8-K filed with the SEC on</w:t>
              </w:r>
            </w:hyperlink>
          </w:p>
        </w:tc>
      </w:tr>
      <w:tr>
        <w:trPr>
          <w:trHeight w:val="163"/>
        </w:trPr>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20" w:type="dxa"/>
            <w:vAlign w:val="bottom"/>
            <w:tcBorders>
              <w:top w:val="single" w:sz="8" w:color="0000EE"/>
            </w:tcBorders>
            <w:gridSpan w:val="19"/>
          </w:tcPr>
          <w:p>
            <w:pPr>
              <w:spacing w:after="0" w:line="164" w:lineRule="exact"/>
              <w:rPr>
                <w:rFonts w:ascii="Times New Roman" w:cs="Times New Roman" w:eastAsia="Times New Roman" w:hAnsi="Times New Roman"/>
                <w:sz w:val="15"/>
                <w:szCs w:val="15"/>
                <w:color w:val="0000EE"/>
              </w:rPr>
            </w:pPr>
            <w:hyperlink r:id="rId92">
              <w:r>
                <w:rPr>
                  <w:rFonts w:ascii="Times New Roman" w:cs="Times New Roman" w:eastAsia="Times New Roman" w:hAnsi="Times New Roman"/>
                  <w:sz w:val="15"/>
                  <w:szCs w:val="15"/>
                  <w:color w:val="0000EE"/>
                </w:rPr>
                <w:t>August 18, 2025).</w:t>
              </w:r>
            </w:hyperlink>
          </w:p>
        </w:tc>
        <w:tc>
          <w:tcPr>
            <w:tcW w:w="220" w:type="dxa"/>
            <w:vAlign w:val="bottom"/>
            <w:gridSpan w:val="3"/>
          </w:tcPr>
          <w:p>
            <w:pPr>
              <w:spacing w:after="0"/>
              <w:rPr>
                <w:sz w:val="14"/>
                <w:szCs w:val="14"/>
                <w:color w:val="auto"/>
              </w:rPr>
            </w:pPr>
          </w:p>
        </w:tc>
      </w:tr>
      <w:tr>
        <w:trPr>
          <w:trHeight w:val="27"/>
        </w:trPr>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70"/>
        </w:trPr>
        <w:tc>
          <w:tcPr>
            <w:tcW w:w="1020" w:type="dxa"/>
            <w:vAlign w:val="bottom"/>
            <w:tcBorders>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4.3</w:t>
            </w:r>
          </w:p>
        </w:tc>
        <w:tc>
          <w:tcPr>
            <w:tcW w:w="100" w:type="dxa"/>
            <w:vAlign w:val="bottom"/>
            <w:tcBorders>
              <w:bottom w:val="single" w:sz="8" w:color="CCEEFF"/>
            </w:tcBorders>
            <w:shd w:val="clear" w:color="auto" w:fill="CCEEFF"/>
          </w:tcPr>
          <w:p>
            <w:pPr>
              <w:spacing w:after="0"/>
              <w:rPr>
                <w:sz w:val="14"/>
                <w:szCs w:val="14"/>
                <w:color w:val="auto"/>
              </w:rPr>
            </w:pPr>
          </w:p>
        </w:tc>
        <w:tc>
          <w:tcPr>
            <w:tcW w:w="8900" w:type="dxa"/>
            <w:vAlign w:val="bottom"/>
            <w:tcBorders>
              <w:bottom w:val="single" w:sz="8" w:color="0000EE"/>
            </w:tcBorders>
            <w:gridSpan w:val="12"/>
            <w:shd w:val="clear" w:color="auto" w:fill="CCEEFF"/>
          </w:tcPr>
          <w:p>
            <w:pPr>
              <w:spacing w:after="0" w:line="156" w:lineRule="exact"/>
              <w:rPr>
                <w:rFonts w:ascii="Times New Roman" w:cs="Times New Roman" w:eastAsia="Times New Roman" w:hAnsi="Times New Roman"/>
                <w:sz w:val="15"/>
                <w:szCs w:val="15"/>
                <w:color w:val="0000EE"/>
              </w:rPr>
            </w:pPr>
            <w:hyperlink r:id="rId64">
              <w:r>
                <w:rPr>
                  <w:rFonts w:ascii="Times New Roman" w:cs="Times New Roman" w:eastAsia="Times New Roman" w:hAnsi="Times New Roman"/>
                  <w:sz w:val="15"/>
                  <w:szCs w:val="15"/>
                  <w:color w:val="0000EE"/>
                </w:rPr>
                <w:t>Description of Securities (incorporated by reference to Exhibit 4.8 to the Annual Report on Form 10-K filed with the SEC on February 29, 2024).</w:t>
              </w:r>
            </w:hyperlink>
          </w:p>
        </w:tc>
        <w:tc>
          <w:tcPr>
            <w:tcW w:w="1240" w:type="dxa"/>
            <w:vAlign w:val="bottom"/>
            <w:tcBorders>
              <w:bottom w:val="single" w:sz="8" w:color="CCEEFF"/>
            </w:tcBorders>
            <w:gridSpan w:val="10"/>
            <w:shd w:val="clear" w:color="auto" w:fill="CCEEFF"/>
          </w:tcPr>
          <w:p>
            <w:pPr>
              <w:spacing w:after="0"/>
              <w:rPr>
                <w:sz w:val="14"/>
                <w:szCs w:val="14"/>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5"/>
                <w:szCs w:val="15"/>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5"/>
                <w:szCs w:val="15"/>
                <w:color w:val="auto"/>
              </w:rPr>
              <w:t>Form of Preferred Stock Certificate.</w:t>
            </w: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shd w:val="clear" w:color="auto" w:fill="CCEEFF"/>
          </w:tcPr>
          <w:p>
            <w:pPr>
              <w:spacing w:after="0"/>
              <w:rPr>
                <w:sz w:val="15"/>
                <w:szCs w:val="15"/>
                <w:color w:val="auto"/>
              </w:rPr>
            </w:pPr>
          </w:p>
        </w:tc>
        <w:tc>
          <w:tcPr>
            <w:tcW w:w="101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Common Stock Warrant Agreement (including warrant certificate).</w:t>
            </w: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tcPr>
          <w:p>
            <w:pPr>
              <w:spacing w:after="0"/>
              <w:rPr>
                <w:sz w:val="15"/>
                <w:szCs w:val="15"/>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5"/>
                <w:szCs w:val="15"/>
                <w:color w:val="auto"/>
              </w:rPr>
              <w:t>Form of Preferred Stock Warrant Agreement (including warrant certificate).</w:t>
            </w:r>
          </w:p>
        </w:tc>
      </w:tr>
      <w:tr>
        <w:trPr>
          <w:trHeight w:val="18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15"/>
                <w:szCs w:val="15"/>
                <w:color w:val="auto"/>
              </w:rPr>
            </w:pPr>
          </w:p>
        </w:tc>
        <w:tc>
          <w:tcPr>
            <w:tcW w:w="1014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5"/>
                <w:szCs w:val="15"/>
                <w:color w:val="auto"/>
              </w:rPr>
              <w:t>Form of Rights Agreement (including rights certificate).</w:t>
            </w: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Pr>
          <w:p>
            <w:pPr>
              <w:spacing w:after="0"/>
              <w:rPr>
                <w:sz w:val="15"/>
                <w:szCs w:val="15"/>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5"/>
                <w:szCs w:val="15"/>
                <w:color w:val="auto"/>
              </w:rPr>
              <w:t>Form of Unit Agreement (including form of unit certificate).</w:t>
            </w:r>
          </w:p>
        </w:tc>
      </w:tr>
      <w:tr>
        <w:trPr>
          <w:trHeight w:val="149"/>
        </w:trPr>
        <w:tc>
          <w:tcPr>
            <w:tcW w:w="1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2"/>
                <w:szCs w:val="12"/>
                <w:color w:val="auto"/>
              </w:rPr>
            </w:pPr>
          </w:p>
        </w:tc>
        <w:tc>
          <w:tcPr>
            <w:tcW w:w="10140" w:type="dxa"/>
            <w:vAlign w:val="bottom"/>
            <w:gridSpan w:val="22"/>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Form of Indenture.</w:t>
            </w:r>
          </w:p>
        </w:tc>
      </w:tr>
      <w:tr>
        <w:trPr>
          <w:trHeight w:val="34"/>
        </w:trPr>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580" w:type="dxa"/>
            <w:vAlign w:val="bottom"/>
            <w:tcBorders>
              <w:left w:val="single" w:sz="8" w:color="0000EE"/>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4.10*</w:t>
            </w:r>
          </w:p>
        </w:tc>
        <w:tc>
          <w:tcPr>
            <w:tcW w:w="100" w:type="dxa"/>
            <w:vAlign w:val="bottom"/>
          </w:tcPr>
          <w:p>
            <w:pPr>
              <w:spacing w:after="0"/>
              <w:rPr>
                <w:sz w:val="15"/>
                <w:szCs w:val="15"/>
                <w:color w:val="auto"/>
              </w:rPr>
            </w:pPr>
          </w:p>
        </w:tc>
        <w:tc>
          <w:tcPr>
            <w:tcW w:w="10140" w:type="dxa"/>
            <w:vAlign w:val="bottom"/>
            <w:gridSpan w:val="22"/>
          </w:tcPr>
          <w:p>
            <w:pPr>
              <w:spacing w:after="0"/>
              <w:rPr>
                <w:sz w:val="20"/>
                <w:szCs w:val="20"/>
                <w:color w:val="auto"/>
              </w:rPr>
            </w:pPr>
            <w:r>
              <w:rPr>
                <w:rFonts w:ascii="Times New Roman" w:cs="Times New Roman" w:eastAsia="Times New Roman" w:hAnsi="Times New Roman"/>
                <w:sz w:val="15"/>
                <w:szCs w:val="15"/>
                <w:color w:val="auto"/>
              </w:rPr>
              <w:t>Form of Debt Security</w:t>
            </w:r>
          </w:p>
        </w:tc>
      </w:tr>
      <w:tr>
        <w:trPr>
          <w:trHeight w:val="149"/>
        </w:trPr>
        <w:tc>
          <w:tcPr>
            <w:tcW w:w="1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2"/>
                <w:szCs w:val="12"/>
                <w:color w:val="auto"/>
              </w:rPr>
            </w:pPr>
          </w:p>
        </w:tc>
        <w:tc>
          <w:tcPr>
            <w:tcW w:w="10140" w:type="dxa"/>
            <w:vAlign w:val="bottom"/>
            <w:gridSpan w:val="22"/>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Opinion of Orrick, Herrington &amp; Sutcliffe LLP.</w:t>
            </w:r>
          </w:p>
        </w:tc>
      </w:tr>
      <w:tr>
        <w:trPr>
          <w:trHeight w:val="34"/>
        </w:trPr>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5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56"/>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21.1</w:t>
            </w:r>
          </w:p>
        </w:tc>
        <w:tc>
          <w:tcPr>
            <w:tcW w:w="100" w:type="dxa"/>
            <w:vAlign w:val="bottom"/>
          </w:tcPr>
          <w:p>
            <w:pPr>
              <w:spacing w:after="0"/>
              <w:rPr>
                <w:sz w:val="13"/>
                <w:szCs w:val="13"/>
                <w:color w:val="auto"/>
              </w:rPr>
            </w:pPr>
          </w:p>
        </w:tc>
        <w:tc>
          <w:tcPr>
            <w:tcW w:w="9840" w:type="dxa"/>
            <w:vAlign w:val="bottom"/>
            <w:tcBorders>
              <w:bottom w:val="single" w:sz="8" w:color="0000EE"/>
            </w:tcBorders>
            <w:gridSpan w:val="17"/>
          </w:tcPr>
          <w:p>
            <w:pPr>
              <w:spacing w:after="0" w:line="149" w:lineRule="exact"/>
              <w:rPr>
                <w:rFonts w:ascii="Times New Roman" w:cs="Times New Roman" w:eastAsia="Times New Roman" w:hAnsi="Times New Roman"/>
                <w:sz w:val="15"/>
                <w:szCs w:val="15"/>
                <w:color w:val="0000EE"/>
              </w:rPr>
            </w:pPr>
            <w:hyperlink r:id="rId93">
              <w:r>
                <w:rPr>
                  <w:rFonts w:ascii="Times New Roman" w:cs="Times New Roman" w:eastAsia="Times New Roman" w:hAnsi="Times New Roman"/>
                  <w:sz w:val="15"/>
                  <w:szCs w:val="15"/>
                  <w:color w:val="0000EE"/>
                </w:rPr>
                <w:t>Subsidiaries of the Registrant (incorporated by reference to Exhibit 21.1 to the Company’s Annual Report on Form 10-K filed with the SEC on March 12, 2026).</w:t>
              </w:r>
            </w:hyperlink>
          </w:p>
        </w:tc>
        <w:tc>
          <w:tcPr>
            <w:tcW w:w="300" w:type="dxa"/>
            <w:vAlign w:val="bottom"/>
            <w:gridSpan w:val="5"/>
          </w:tcPr>
          <w:p>
            <w:pPr>
              <w:spacing w:after="0"/>
              <w:rPr>
                <w:sz w:val="13"/>
                <w:szCs w:val="13"/>
                <w:color w:val="auto"/>
              </w:rPr>
            </w:pPr>
          </w:p>
        </w:tc>
      </w:tr>
      <w:tr>
        <w:trPr>
          <w:trHeight w:val="170"/>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23.1</w:t>
            </w:r>
          </w:p>
        </w:tc>
        <w:tc>
          <w:tcPr>
            <w:tcW w:w="100" w:type="dxa"/>
            <w:vAlign w:val="bottom"/>
            <w:shd w:val="clear" w:color="auto" w:fill="CCEEFF"/>
          </w:tcPr>
          <w:p>
            <w:pPr>
              <w:spacing w:after="0"/>
              <w:rPr>
                <w:sz w:val="14"/>
                <w:szCs w:val="14"/>
                <w:color w:val="auto"/>
              </w:rPr>
            </w:pPr>
          </w:p>
        </w:tc>
        <w:tc>
          <w:tcPr>
            <w:tcW w:w="10140" w:type="dxa"/>
            <w:vAlign w:val="bottom"/>
            <w:gridSpan w:val="2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Consent of PricewaterhouseCoopers LLP, the Company’s independent registered public accounting firm.</w:t>
            </w:r>
          </w:p>
        </w:tc>
      </w:tr>
      <w:tr>
        <w:trPr>
          <w:trHeight w:val="156"/>
        </w:trPr>
        <w:tc>
          <w:tcPr>
            <w:tcW w:w="102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5"/>
                <w:szCs w:val="15"/>
                <w:color w:val="auto"/>
              </w:rPr>
              <w:t>23.2</w:t>
            </w:r>
          </w:p>
        </w:tc>
        <w:tc>
          <w:tcPr>
            <w:tcW w:w="100" w:type="dxa"/>
            <w:vAlign w:val="bottom"/>
            <w:tcBorders>
              <w:top w:val="single" w:sz="8" w:color="CCEEFF"/>
            </w:tcBorders>
          </w:tcPr>
          <w:p>
            <w:pPr>
              <w:spacing w:after="0"/>
              <w:rPr>
                <w:sz w:val="13"/>
                <w:szCs w:val="13"/>
                <w:color w:val="auto"/>
              </w:rPr>
            </w:pPr>
          </w:p>
        </w:tc>
        <w:tc>
          <w:tcPr>
            <w:tcW w:w="5920" w:type="dxa"/>
            <w:vAlign w:val="bottom"/>
            <w:tcBorders>
              <w:top w:val="single" w:sz="8" w:color="0000EE"/>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5"/>
                <w:szCs w:val="15"/>
                <w:color w:val="0000EE"/>
              </w:rPr>
              <w:t>Consent of dbbmckennon, the Company’s former independent registered public accounting firm.</w:t>
            </w:r>
          </w:p>
        </w:tc>
        <w:tc>
          <w:tcPr>
            <w:tcW w:w="480" w:type="dxa"/>
            <w:vAlign w:val="bottom"/>
            <w:tcBorders>
              <w:top w:val="single" w:sz="8" w:color="0000EE"/>
            </w:tcBorders>
          </w:tcPr>
          <w:p>
            <w:pPr>
              <w:spacing w:after="0"/>
              <w:rPr>
                <w:sz w:val="13"/>
                <w:szCs w:val="13"/>
                <w:color w:val="auto"/>
              </w:rPr>
            </w:pPr>
          </w:p>
        </w:tc>
        <w:tc>
          <w:tcPr>
            <w:tcW w:w="3740" w:type="dxa"/>
            <w:vAlign w:val="bottom"/>
            <w:tcBorders>
              <w:top w:val="single" w:sz="8" w:color="CCEEFF"/>
            </w:tcBorders>
            <w:gridSpan w:val="13"/>
          </w:tcPr>
          <w:p>
            <w:pPr>
              <w:spacing w:after="0"/>
              <w:rPr>
                <w:sz w:val="13"/>
                <w:szCs w:val="13"/>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23.3</w:t>
            </w:r>
          </w:p>
        </w:tc>
        <w:tc>
          <w:tcPr>
            <w:tcW w:w="100" w:type="dxa"/>
            <w:vAlign w:val="bottom"/>
            <w:shd w:val="clear" w:color="auto" w:fill="CCEEFF"/>
          </w:tcPr>
          <w:p>
            <w:pPr>
              <w:spacing w:after="0"/>
              <w:rPr>
                <w:sz w:val="13"/>
                <w:szCs w:val="13"/>
                <w:color w:val="auto"/>
              </w:rPr>
            </w:pPr>
          </w:p>
        </w:tc>
        <w:tc>
          <w:tcPr>
            <w:tcW w:w="10140" w:type="dxa"/>
            <w:vAlign w:val="bottom"/>
            <w:gridSpan w:val="2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Consent of dbbmckennon, in its capacity as auditor of Diligent Robotics, Inc.’s financial statements for the year ended December 31, 2025 and incorporated by</w:t>
            </w:r>
          </w:p>
        </w:tc>
      </w:tr>
      <w:tr>
        <w:trPr>
          <w:trHeight w:val="163"/>
        </w:trPr>
        <w:tc>
          <w:tcPr>
            <w:tcW w:w="10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720" w:type="dxa"/>
            <w:vAlign w:val="bottom"/>
            <w:tcBorders>
              <w:top w:val="single" w:sz="8" w:color="0000EE"/>
            </w:tcBorders>
            <w:gridSpan w:val="16"/>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reference herein.</w:t>
            </w:r>
          </w:p>
        </w:tc>
        <w:tc>
          <w:tcPr>
            <w:tcW w:w="420" w:type="dxa"/>
            <w:vAlign w:val="bottom"/>
            <w:tcBorders>
              <w:top w:val="single" w:sz="8" w:color="CCEEFF"/>
            </w:tcBorders>
            <w:gridSpan w:val="6"/>
            <w:shd w:val="clear" w:color="auto" w:fill="CCEEFF"/>
          </w:tcPr>
          <w:p>
            <w:pPr>
              <w:spacing w:after="0"/>
              <w:rPr>
                <w:sz w:val="14"/>
                <w:szCs w:val="14"/>
                <w:color w:val="auto"/>
              </w:rPr>
            </w:pPr>
          </w:p>
        </w:tc>
      </w:tr>
      <w:tr>
        <w:trPr>
          <w:trHeight w:val="34"/>
        </w:trPr>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80" w:type="dxa"/>
            <w:vAlign w:val="bottom"/>
            <w:tcBorders>
              <w:lef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56"/>
        </w:trPr>
        <w:tc>
          <w:tcPr>
            <w:tcW w:w="1020" w:type="dxa"/>
            <w:vAlign w:val="bottom"/>
          </w:tcPr>
          <w:p>
            <w:pPr>
              <w:spacing w:after="0" w:line="149" w:lineRule="exact"/>
              <w:rPr>
                <w:sz w:val="20"/>
                <w:szCs w:val="20"/>
                <w:color w:val="auto"/>
              </w:rPr>
            </w:pPr>
            <w:r>
              <w:rPr>
                <w:rFonts w:ascii="Times New Roman" w:cs="Times New Roman" w:eastAsia="Times New Roman" w:hAnsi="Times New Roman"/>
                <w:sz w:val="15"/>
                <w:szCs w:val="15"/>
                <w:color w:val="auto"/>
              </w:rPr>
              <w:t>23.4</w:t>
            </w:r>
          </w:p>
        </w:tc>
        <w:tc>
          <w:tcPr>
            <w:tcW w:w="100" w:type="dxa"/>
            <w:vAlign w:val="bottom"/>
          </w:tcPr>
          <w:p>
            <w:pPr>
              <w:spacing w:after="0"/>
              <w:rPr>
                <w:sz w:val="13"/>
                <w:szCs w:val="13"/>
                <w:color w:val="auto"/>
              </w:rPr>
            </w:pPr>
          </w:p>
        </w:tc>
        <w:tc>
          <w:tcPr>
            <w:tcW w:w="4460" w:type="dxa"/>
            <w:vAlign w:val="bottom"/>
            <w:tcBorders>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5"/>
                <w:szCs w:val="15"/>
                <w:color w:val="0000EE"/>
              </w:rPr>
              <w:t>Consent of Orrick, Herrington &amp; Sutcliffe LLP (included in Exhibit 5.1).</w:t>
            </w:r>
          </w:p>
        </w:tc>
        <w:tc>
          <w:tcPr>
            <w:tcW w:w="5680" w:type="dxa"/>
            <w:vAlign w:val="bottom"/>
            <w:gridSpan w:val="16"/>
          </w:tcPr>
          <w:p>
            <w:pPr>
              <w:spacing w:after="0"/>
              <w:rPr>
                <w:sz w:val="13"/>
                <w:szCs w:val="13"/>
                <w:color w:val="auto"/>
              </w:rPr>
            </w:pPr>
          </w:p>
        </w:tc>
      </w:tr>
      <w:tr>
        <w:trPr>
          <w:trHeight w:val="156"/>
        </w:trPr>
        <w:tc>
          <w:tcPr>
            <w:tcW w:w="10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24.1</w:t>
            </w:r>
          </w:p>
        </w:tc>
        <w:tc>
          <w:tcPr>
            <w:tcW w:w="100" w:type="dxa"/>
            <w:vAlign w:val="bottom"/>
            <w:shd w:val="clear" w:color="auto" w:fill="CCEEFF"/>
          </w:tcPr>
          <w:p>
            <w:pPr>
              <w:spacing w:after="0"/>
              <w:rPr>
                <w:sz w:val="13"/>
                <w:szCs w:val="13"/>
                <w:color w:val="auto"/>
              </w:rPr>
            </w:pPr>
          </w:p>
        </w:tc>
        <w:tc>
          <w:tcPr>
            <w:tcW w:w="10140" w:type="dxa"/>
            <w:vAlign w:val="bottom"/>
            <w:gridSpan w:val="22"/>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Power of Attorney (included on the signature page).</w:t>
            </w:r>
          </w:p>
        </w:tc>
      </w:tr>
      <w:tr>
        <w:trPr>
          <w:trHeight w:val="34"/>
        </w:trPr>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5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85"/>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25.1†</w:t>
            </w:r>
          </w:p>
        </w:tc>
        <w:tc>
          <w:tcPr>
            <w:tcW w:w="10140" w:type="dxa"/>
            <w:vAlign w:val="bottom"/>
            <w:gridSpan w:val="22"/>
          </w:tcPr>
          <w:p>
            <w:pPr>
              <w:spacing w:after="0"/>
              <w:rPr>
                <w:sz w:val="20"/>
                <w:szCs w:val="20"/>
                <w:color w:val="auto"/>
              </w:rPr>
            </w:pPr>
            <w:r>
              <w:rPr>
                <w:rFonts w:ascii="Times New Roman" w:cs="Times New Roman" w:eastAsia="Times New Roman" w:hAnsi="Times New Roman"/>
                <w:sz w:val="15"/>
                <w:szCs w:val="15"/>
                <w:color w:val="auto"/>
              </w:rPr>
              <w:t>Form T-1 Statement of Eligibility under Trust Indenture Act of 1939 of Debt Trustee (to be filed prior to any issuance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53275" cy="1162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153275" cy="116205"/>
                    </a:xfrm>
                    <a:prstGeom prst="rect">
                      <a:avLst/>
                    </a:prstGeom>
                    <a:noFill/>
                  </pic:spPr>
                </pic:pic>
              </a:graphicData>
            </a:graphic>
          </wp:anchor>
        </w:drawing>
      </w:r>
    </w:p>
    <w:p>
      <w:pPr>
        <w:ind w:left="1128" w:hanging="1128"/>
        <w:spacing w:after="0"/>
        <w:tabs>
          <w:tab w:leader="none" w:pos="1128"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0000EE"/>
        </w:rPr>
        <w:t>Calculation of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78816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1788160" cy="14605"/>
                    </a:xfrm>
                    <a:prstGeom prst="rect">
                      <a:avLst/>
                    </a:prstGeom>
                    <a:noFill/>
                  </pic:spPr>
                </pic:pic>
              </a:graphicData>
            </a:graphic>
          </wp:anchor>
        </w:drawing>
      </w:r>
    </w:p>
    <w:p>
      <w:pPr>
        <w:spacing w:after="0" w:line="192" w:lineRule="exact"/>
        <w:rPr>
          <w:sz w:val="20"/>
          <w:szCs w:val="20"/>
          <w:color w:val="auto"/>
        </w:rPr>
      </w:pPr>
    </w:p>
    <w:p>
      <w:pPr>
        <w:ind w:left="268" w:hanging="268"/>
        <w:spacing w:after="0"/>
        <w:tabs>
          <w:tab w:leader="none" w:pos="268"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by amendment or by a Current Report on Form 8-K and incorporated herein by reference.</w:t>
      </w:r>
    </w:p>
    <w:p>
      <w:pPr>
        <w:spacing w:after="0" w:line="194" w:lineRule="exact"/>
        <w:rPr>
          <w:sz w:val="20"/>
          <w:szCs w:val="20"/>
          <w:color w:val="auto"/>
        </w:rPr>
      </w:pPr>
    </w:p>
    <w:p>
      <w:pPr>
        <w:ind w:left="268" w:right="60" w:hanging="268"/>
        <w:spacing w:after="0" w:line="290" w:lineRule="auto"/>
        <w:tabs>
          <w:tab w:leader="none" w:pos="268"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exhibits or schedules to this exhibit have been omitted in accordance with Item 601(a)(5) of Regulation S-K. The registrant hereby agrees to furnish supplementally a copy of any omitted exhibit or schedule to the SEC upon its request.</w:t>
      </w:r>
    </w:p>
    <w:p>
      <w:pPr>
        <w:spacing w:after="0" w:line="133" w:lineRule="exact"/>
        <w:rPr>
          <w:sz w:val="20"/>
          <w:szCs w:val="20"/>
          <w:color w:val="auto"/>
        </w:rPr>
      </w:pPr>
    </w:p>
    <w:p>
      <w:pPr>
        <w:ind w:left="268" w:hanging="268"/>
        <w:spacing w:after="0"/>
        <w:tabs>
          <w:tab w:leader="none" w:pos="26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be filed in accordance with the requirements of Section 305(b)(2) of the Trust Indenture Act of 1939.</w:t>
      </w:r>
    </w:p>
    <w:p>
      <w:pPr>
        <w:spacing w:after="0" w:line="3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53275"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b w:val="1"/>
          <w:bCs w:val="1"/>
          <w:color w:val="auto"/>
        </w:rPr>
        <w:t>Item 17. Undertakings</w:t>
      </w:r>
    </w:p>
    <w:p>
      <w:pPr>
        <w:spacing w:after="0" w:line="198" w:lineRule="exact"/>
        <w:rPr>
          <w:sz w:val="20"/>
          <w:szCs w:val="20"/>
          <w:color w:val="auto"/>
        </w:rPr>
      </w:pPr>
    </w:p>
    <w:p>
      <w:pPr>
        <w:ind w:left="740" w:hanging="199"/>
        <w:spacing w:after="0"/>
        <w:tabs>
          <w:tab w:leader="none" w:pos="7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undersigned registrant hereby undertakes:</w:t>
      </w:r>
    </w:p>
    <w:p>
      <w:pPr>
        <w:spacing w:after="0" w:line="193"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1"/>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during any period in which offers or sales are being made, a post-effective amendment to this registration statement:</w:t>
      </w:r>
    </w:p>
    <w:p>
      <w:pPr>
        <w:spacing w:after="0" w:line="193" w:lineRule="exact"/>
        <w:rPr>
          <w:rFonts w:ascii="Times New Roman" w:cs="Times New Roman" w:eastAsia="Times New Roman" w:hAnsi="Times New Roman"/>
          <w:sz w:val="15"/>
          <w:szCs w:val="15"/>
          <w:color w:val="auto"/>
        </w:rPr>
      </w:pPr>
    </w:p>
    <w:p>
      <w:pPr>
        <w:ind w:left="1820" w:hanging="180"/>
        <w:spacing w:after="0"/>
        <w:tabs>
          <w:tab w:leader="none" w:pos="1820" w:val="left"/>
        </w:tabs>
        <w:numPr>
          <w:ilvl w:val="2"/>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prospectus required by Section 10(a)(3) of the Securities Act;</w:t>
      </w:r>
    </w:p>
    <w:p>
      <w:pPr>
        <w:spacing w:after="0" w:line="193" w:lineRule="exact"/>
        <w:rPr>
          <w:rFonts w:ascii="Times New Roman" w:cs="Times New Roman" w:eastAsia="Times New Roman" w:hAnsi="Times New Roman"/>
          <w:sz w:val="15"/>
          <w:szCs w:val="15"/>
          <w:color w:val="auto"/>
        </w:rPr>
      </w:pPr>
    </w:p>
    <w:p>
      <w:pPr>
        <w:ind w:firstLine="1640"/>
        <w:spacing w:after="0" w:line="263" w:lineRule="auto"/>
        <w:tabs>
          <w:tab w:leader="none" w:pos="1870" w:val="left"/>
        </w:tabs>
        <w:numPr>
          <w:ilvl w:val="2"/>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53" w:lineRule="exact"/>
        <w:rPr>
          <w:rFonts w:ascii="Times New Roman" w:cs="Times New Roman" w:eastAsia="Times New Roman" w:hAnsi="Times New Roman"/>
          <w:sz w:val="15"/>
          <w:szCs w:val="15"/>
          <w:color w:val="auto"/>
        </w:rPr>
      </w:pPr>
    </w:p>
    <w:p>
      <w:pPr>
        <w:ind w:right="100" w:firstLine="1640"/>
        <w:spacing w:after="0" w:line="290" w:lineRule="auto"/>
        <w:tabs>
          <w:tab w:leader="none" w:pos="1913" w:val="left"/>
        </w:tabs>
        <w:numPr>
          <w:ilvl w:val="2"/>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33" w:lineRule="exact"/>
        <w:rPr>
          <w:sz w:val="20"/>
          <w:szCs w:val="20"/>
          <w:color w:val="auto"/>
        </w:rPr>
      </w:pPr>
    </w:p>
    <w:p>
      <w:pPr>
        <w:jc w:val="both"/>
        <w:ind w:right="320" w:firstLine="549"/>
        <w:spacing w:after="0" w:line="272" w:lineRule="auto"/>
        <w:rPr>
          <w:sz w:val="20"/>
          <w:szCs w:val="20"/>
          <w:color w:val="auto"/>
        </w:rPr>
      </w:pPr>
      <w:r>
        <w:rPr>
          <w:rFonts w:ascii="Times New Roman" w:cs="Times New Roman" w:eastAsia="Times New Roman" w:hAnsi="Times New Roman"/>
          <w:sz w:val="15"/>
          <w:szCs w:val="15"/>
          <w:color w:val="auto"/>
        </w:rPr>
        <w:t>Provided, however, that paragraphs (a)(1)(i), (a)(1)(ii) and (a)(1)(iii) above do not apply if the information required to be included in a post-effective amendment by those paragraphs is contained in periodic reports filed with or furnished to the SEC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146" w:lineRule="exact"/>
        <w:rPr>
          <w:sz w:val="20"/>
          <w:szCs w:val="20"/>
          <w:color w:val="auto"/>
        </w:rPr>
      </w:pPr>
    </w:p>
    <w:p>
      <w:pPr>
        <w:ind w:right="40" w:firstLine="1091"/>
        <w:spacing w:after="0" w:line="290" w:lineRule="auto"/>
        <w:tabs>
          <w:tab w:leader="none" w:pos="1312"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2"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remove from registration by means of a post-effective amendment any of the securities being registered which remain unsold at the termination of the offering.</w:t>
      </w:r>
    </w:p>
    <w:p>
      <w:pPr>
        <w:spacing w:after="0" w:line="193"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under the Securities Act to any purchaser:</w:t>
      </w:r>
    </w:p>
    <w:p>
      <w:pPr>
        <w:spacing w:after="0" w:line="193" w:lineRule="exact"/>
        <w:rPr>
          <w:rFonts w:ascii="Times New Roman" w:cs="Times New Roman" w:eastAsia="Times New Roman" w:hAnsi="Times New Roman"/>
          <w:sz w:val="15"/>
          <w:szCs w:val="15"/>
          <w:color w:val="auto"/>
        </w:rPr>
      </w:pPr>
    </w:p>
    <w:p>
      <w:pPr>
        <w:ind w:right="660" w:firstLine="1640"/>
        <w:spacing w:after="0" w:line="290" w:lineRule="auto"/>
        <w:tabs>
          <w:tab w:leader="none" w:pos="1831"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2" w:lineRule="exact"/>
        <w:rPr>
          <w:rFonts w:ascii="Times New Roman" w:cs="Times New Roman" w:eastAsia="Times New Roman" w:hAnsi="Times New Roman"/>
          <w:sz w:val="15"/>
          <w:szCs w:val="15"/>
          <w:color w:val="auto"/>
        </w:rPr>
      </w:pPr>
    </w:p>
    <w:p>
      <w:pPr>
        <w:ind w:right="20" w:firstLine="1640"/>
        <w:spacing w:after="0" w:line="259" w:lineRule="auto"/>
        <w:tabs>
          <w:tab w:leader="none" w:pos="1873" w:val="left"/>
        </w:tabs>
        <w:numPr>
          <w:ilvl w:val="1"/>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59" w:name="page60"/>
    <w:bookmarkEnd w:id="59"/>
    <w:p>
      <w:pPr>
        <w:ind w:right="60" w:firstLine="1091"/>
        <w:spacing w:after="0" w:line="266" w:lineRule="auto"/>
        <w:tabs>
          <w:tab w:leader="none" w:pos="1312"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1" w:lineRule="exact"/>
        <w:rPr>
          <w:rFonts w:ascii="Times New Roman" w:cs="Times New Roman" w:eastAsia="Times New Roman" w:hAnsi="Times New Roman"/>
          <w:sz w:val="15"/>
          <w:szCs w:val="15"/>
          <w:color w:val="auto"/>
        </w:rPr>
      </w:pPr>
    </w:p>
    <w:p>
      <w:pPr>
        <w:ind w:left="1820" w:hanging="180"/>
        <w:spacing w:after="0"/>
        <w:tabs>
          <w:tab w:leader="none" w:pos="182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preliminary prospectus or prospectus of the undersigned registrant relating to the offering required to be filed pursuant to Rule 424;</w:t>
      </w:r>
    </w:p>
    <w:p>
      <w:pPr>
        <w:spacing w:after="0" w:line="193" w:lineRule="exact"/>
        <w:rPr>
          <w:rFonts w:ascii="Times New Roman" w:cs="Times New Roman" w:eastAsia="Times New Roman" w:hAnsi="Times New Roman"/>
          <w:sz w:val="15"/>
          <w:szCs w:val="15"/>
          <w:color w:val="auto"/>
        </w:rPr>
      </w:pPr>
    </w:p>
    <w:p>
      <w:pPr>
        <w:ind w:left="1860" w:hanging="220"/>
        <w:spacing w:after="0"/>
        <w:tabs>
          <w:tab w:leader="none" w:pos="186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free writing prospectus relating to the offering prepared by or on behalf of the undersigned registrant or used or referred to by the undersigned</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registrant;</w:t>
      </w:r>
    </w:p>
    <w:p>
      <w:pPr>
        <w:spacing w:after="0" w:line="179" w:lineRule="exact"/>
        <w:rPr>
          <w:rFonts w:ascii="Times New Roman" w:cs="Times New Roman" w:eastAsia="Times New Roman" w:hAnsi="Times New Roman"/>
          <w:sz w:val="15"/>
          <w:szCs w:val="15"/>
          <w:color w:val="auto"/>
        </w:rPr>
      </w:pPr>
    </w:p>
    <w:p>
      <w:pPr>
        <w:ind w:right="20" w:firstLine="1640"/>
        <w:spacing w:after="0" w:line="290" w:lineRule="auto"/>
        <w:tabs>
          <w:tab w:leader="none" w:pos="1913"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2" w:lineRule="exact"/>
        <w:rPr>
          <w:rFonts w:ascii="Times New Roman" w:cs="Times New Roman" w:eastAsia="Times New Roman" w:hAnsi="Times New Roman"/>
          <w:sz w:val="15"/>
          <w:szCs w:val="15"/>
          <w:color w:val="auto"/>
        </w:rPr>
      </w:pPr>
    </w:p>
    <w:p>
      <w:pPr>
        <w:ind w:left="1900" w:hanging="260"/>
        <w:spacing w:after="0"/>
        <w:tabs>
          <w:tab w:leader="none" w:pos="1900" w:val="left"/>
        </w:tabs>
        <w:numPr>
          <w:ilvl w:val="1"/>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communication that is an offer in the offering made by the undersigned registrant to the purchaser.</w:t>
      </w:r>
    </w:p>
    <w:p>
      <w:pPr>
        <w:spacing w:after="0" w:line="193" w:lineRule="exact"/>
        <w:rPr>
          <w:rFonts w:ascii="Times New Roman" w:cs="Times New Roman" w:eastAsia="Times New Roman" w:hAnsi="Times New Roman"/>
          <w:sz w:val="15"/>
          <w:szCs w:val="15"/>
          <w:color w:val="auto"/>
        </w:rPr>
      </w:pPr>
    </w:p>
    <w:p>
      <w:pPr>
        <w:ind w:right="120" w:firstLine="1091"/>
        <w:spacing w:after="0" w:line="266" w:lineRule="auto"/>
        <w:tabs>
          <w:tab w:leader="none" w:pos="1312"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51" w:lineRule="exact"/>
        <w:rPr>
          <w:rFonts w:ascii="Times New Roman" w:cs="Times New Roman" w:eastAsia="Times New Roman" w:hAnsi="Times New Roman"/>
          <w:sz w:val="15"/>
          <w:szCs w:val="15"/>
          <w:color w:val="auto"/>
        </w:rPr>
      </w:pPr>
    </w:p>
    <w:p>
      <w:pPr>
        <w:ind w:firstLine="1091"/>
        <w:spacing w:after="0" w:line="261" w:lineRule="auto"/>
        <w:tabs>
          <w:tab w:leader="none" w:pos="1312"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39" w:lineRule="exact"/>
        <w:rPr>
          <w:rFonts w:ascii="Times New Roman" w:cs="Times New Roman" w:eastAsia="Times New Roman" w:hAnsi="Times New Roman"/>
          <w:sz w:val="15"/>
          <w:szCs w:val="15"/>
          <w:color w:val="auto"/>
        </w:rPr>
      </w:pPr>
    </w:p>
    <w:p>
      <w:pPr>
        <w:ind w:right="660" w:firstLine="1091"/>
        <w:spacing w:after="0" w:line="290" w:lineRule="auto"/>
        <w:tabs>
          <w:tab w:leader="none" w:pos="1312"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8" w:lineRule="exact"/>
        <w:rPr>
          <w:sz w:val="20"/>
          <w:szCs w:val="20"/>
          <w:color w:val="auto"/>
        </w:rPr>
      </w:pPr>
    </w:p>
    <w:p>
      <w:pPr>
        <w:ind w:right="80" w:firstLine="549"/>
        <w:spacing w:after="0" w:line="272" w:lineRule="auto"/>
        <w:rPr>
          <w:sz w:val="20"/>
          <w:szCs w:val="20"/>
          <w:color w:val="auto"/>
        </w:rPr>
      </w:pPr>
      <w:r>
        <w:rPr>
          <w:rFonts w:ascii="Times New Roman" w:cs="Times New Roman" w:eastAsia="Times New Roman" w:hAnsi="Times New Roman"/>
          <w:sz w:val="15"/>
          <w:szCs w:val="15"/>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Redwood City, State of California, on the 11th day of May, 2026.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SERVE ROBOTICS INC.</w:t>
      </w:r>
    </w:p>
    <w:p>
      <w:pPr>
        <w:spacing w:after="0" w:line="19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5"/>
          <w:szCs w:val="15"/>
          <w:color w:val="auto"/>
        </w:rPr>
        <w:t>By:</w:t>
        <w:tab/>
        <w:t>/s/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15875</wp:posOffset>
            </wp:positionV>
            <wp:extent cx="2573655"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2573655" cy="14605"/>
                    </a:xfrm>
                    <a:prstGeom prst="rect">
                      <a:avLst/>
                    </a:prstGeom>
                    <a:noFill/>
                  </pic:spPr>
                </pic:pic>
              </a:graphicData>
            </a:graphic>
          </wp:anchor>
        </w:drawing>
      </w: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Ali Kashani</w:t>
      </w:r>
    </w:p>
    <w:p>
      <w:pPr>
        <w:spacing w:after="0" w:line="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Chief Executive Officer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98"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Each person whose signature appears below constitutes and appoints Ali Kashani, Touraj Parang and Evan Dunn as his or her true and lawful agent, proxy and attorney-in-fact, each acting alone, with full power of substitution and resubstitution, for him or her and in his or her name, place and stead, in any and all capacities, to (i) act on, sign, and file with the SEC any and all amendments (including post-effective amendments) to this registration statement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WITNESS WHEREOF, each person whose signature appears below has executed this Power of Attorney as of the date indicated.</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Pursuant to the requirements of the Securities Act, this registration statement has been signed by the following persons in the capacities and as of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120" w:type="dxa"/>
            <w:vAlign w:val="bottom"/>
          </w:tcPr>
          <w:p>
            <w:pPr>
              <w:spacing w:after="0"/>
              <w:rPr>
                <w:sz w:val="18"/>
                <w:szCs w:val="18"/>
                <w:color w:val="auto"/>
              </w:rPr>
            </w:pP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Title</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r>
      <w:tr>
        <w:trPr>
          <w:trHeight w:val="36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Ali Kashani</w:t>
            </w:r>
          </w:p>
        </w:tc>
        <w:tc>
          <w:tcPr>
            <w:tcW w:w="12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Chief Executive Officer, and Chairman of the Board of Directors</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May 11, 2026</w:t>
            </w:r>
          </w:p>
        </w:tc>
      </w:t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Ali Kashani</w:t>
            </w:r>
          </w:p>
        </w:tc>
        <w:tc>
          <w:tcPr>
            <w:tcW w:w="120" w:type="dxa"/>
            <w:vAlign w:val="bottom"/>
          </w:tcPr>
          <w:p>
            <w:pPr>
              <w:spacing w:after="0"/>
              <w:rPr>
                <w:sz w:val="17"/>
                <w:szCs w:val="17"/>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executive officer</w:t>
            </w: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5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Touraj Parang</w:t>
            </w:r>
          </w:p>
        </w:tc>
        <w:tc>
          <w:tcPr>
            <w:tcW w:w="12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President and Chief Operating Officer and 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May 11, 2026</w:t>
            </w:r>
          </w:p>
        </w:tc>
      </w:t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Touraj Parang</w:t>
            </w:r>
          </w:p>
        </w:tc>
        <w:tc>
          <w:tcPr>
            <w:tcW w:w="1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5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Brian Read</w:t>
            </w:r>
          </w:p>
        </w:tc>
        <w:tc>
          <w:tcPr>
            <w:tcW w:w="12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Chief Financial Officer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May 11, 2026</w:t>
            </w:r>
          </w:p>
        </w:tc>
      </w:t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Brian Read</w:t>
            </w:r>
          </w:p>
        </w:tc>
        <w:tc>
          <w:tcPr>
            <w:tcW w:w="120" w:type="dxa"/>
            <w:vAlign w:val="bottom"/>
          </w:tcPr>
          <w:p>
            <w:pPr>
              <w:spacing w:after="0"/>
              <w:rPr>
                <w:sz w:val="17"/>
                <w:szCs w:val="17"/>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principal financial and accounting officer</w:t>
            </w: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5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David Goldberg</w:t>
            </w:r>
          </w:p>
        </w:tc>
        <w:tc>
          <w:tcPr>
            <w:tcW w:w="12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May 11, 2026</w:t>
            </w:r>
          </w:p>
        </w:tc>
      </w:t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David Goldberg</w:t>
            </w:r>
          </w:p>
        </w:tc>
        <w:tc>
          <w:tcPr>
            <w:tcW w:w="1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5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Lily Sarafan</w:t>
            </w:r>
          </w:p>
        </w:tc>
        <w:tc>
          <w:tcPr>
            <w:tcW w:w="12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May 11, 2026</w:t>
            </w:r>
          </w:p>
        </w:tc>
      </w:t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Lily Sarafan</w:t>
            </w:r>
          </w:p>
        </w:tc>
        <w:tc>
          <w:tcPr>
            <w:tcW w:w="1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5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Sarfraz Maredia</w:t>
            </w:r>
          </w:p>
        </w:tc>
        <w:tc>
          <w:tcPr>
            <w:tcW w:w="12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May 11, 2026</w:t>
            </w:r>
          </w:p>
        </w:tc>
      </w:t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Sarfraz Maredia</w:t>
            </w:r>
          </w:p>
        </w:tc>
        <w:tc>
          <w:tcPr>
            <w:tcW w:w="1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54"/>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Olivier Vincent</w:t>
            </w:r>
          </w:p>
        </w:tc>
        <w:tc>
          <w:tcPr>
            <w:tcW w:w="120" w:type="dxa"/>
            <w:vAlign w:val="bottom"/>
          </w:tcPr>
          <w:p>
            <w:pPr>
              <w:spacing w:after="0"/>
              <w:rPr>
                <w:sz w:val="24"/>
                <w:szCs w:val="24"/>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Director</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May 11, 2026</w:t>
            </w:r>
          </w:p>
        </w:tc>
      </w:tr>
      <w:tr>
        <w:trPr>
          <w:trHeight w:val="198"/>
        </w:trPr>
        <w:tc>
          <w:tcPr>
            <w:tcW w:w="2820" w:type="dxa"/>
            <w:vAlign w:val="bottom"/>
          </w:tcPr>
          <w:p>
            <w:pPr>
              <w:spacing w:after="0"/>
              <w:rPr>
                <w:sz w:val="20"/>
                <w:szCs w:val="20"/>
                <w:color w:val="auto"/>
              </w:rPr>
            </w:pPr>
            <w:r>
              <w:rPr>
                <w:rFonts w:ascii="Times New Roman" w:cs="Times New Roman" w:eastAsia="Times New Roman" w:hAnsi="Times New Roman"/>
                <w:sz w:val="15"/>
                <w:szCs w:val="15"/>
                <w:color w:val="auto"/>
              </w:rPr>
              <w:t>Olivier Vincent</w:t>
            </w:r>
          </w:p>
        </w:tc>
        <w:tc>
          <w:tcPr>
            <w:tcW w:w="1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5"/>
          <w:szCs w:val="15"/>
          <w:b w:val="1"/>
          <w:bCs w:val="1"/>
          <w:color w:val="auto"/>
        </w:rPr>
        <w:t>Exhibit 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SERVE ROBOTICS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Shares of Common Stock</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(par value $0.0001 per share)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Sales Agreement</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May 11,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Evercore Group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55 East 52nd Street, 35th Floor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10055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Guggenheim Securities, LLC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330 Madison Avenue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10017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Oppenheimer &amp; Co.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85 Broad Street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10004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Northland Securities,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150 South Fifth Street, Suite 3300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Minneapolis, MN 55402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Wedbush Securities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 Embarcadero Center, Suite 2610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Francisco, CA 94111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0" w:lineRule="exact"/>
        <w:rPr>
          <w:sz w:val="20"/>
          <w:szCs w:val="20"/>
          <w:color w:val="auto"/>
        </w:rPr>
      </w:pPr>
    </w:p>
    <w:p>
      <w:pPr>
        <w:ind w:right="480" w:firstLine="549"/>
        <w:spacing w:after="0" w:line="295" w:lineRule="auto"/>
        <w:rPr>
          <w:sz w:val="20"/>
          <w:szCs w:val="20"/>
          <w:color w:val="auto"/>
        </w:rPr>
      </w:pPr>
      <w:r>
        <w:rPr>
          <w:rFonts w:ascii="Times New Roman" w:cs="Times New Roman" w:eastAsia="Times New Roman" w:hAnsi="Times New Roman"/>
          <w:sz w:val="15"/>
          <w:szCs w:val="15"/>
          <w:color w:val="auto"/>
        </w:rPr>
        <w:t>Serve Robotics Inc., a Delaware corporation (the “</w:t>
      </w:r>
      <w:r>
        <w:rPr>
          <w:rFonts w:ascii="Times New Roman" w:cs="Times New Roman" w:eastAsia="Times New Roman" w:hAnsi="Times New Roman"/>
          <w:sz w:val="15"/>
          <w:szCs w:val="15"/>
          <w:b w:val="1"/>
          <w:bCs w:val="1"/>
          <w:u w:val="single" w:color="auto"/>
          <w:color w:val="auto"/>
        </w:rPr>
        <w:t>Company</w:t>
      </w:r>
      <w:r>
        <w:rPr>
          <w:rFonts w:ascii="Times New Roman" w:cs="Times New Roman" w:eastAsia="Times New Roman" w:hAnsi="Times New Roman"/>
          <w:sz w:val="15"/>
          <w:szCs w:val="15"/>
          <w:color w:val="auto"/>
        </w:rPr>
        <w:t>”), confirms its agreement (this “</w:t>
      </w:r>
      <w:r>
        <w:rPr>
          <w:rFonts w:ascii="Times New Roman" w:cs="Times New Roman" w:eastAsia="Times New Roman" w:hAnsi="Times New Roman"/>
          <w:sz w:val="15"/>
          <w:szCs w:val="15"/>
          <w:b w:val="1"/>
          <w:bCs w:val="1"/>
          <w:u w:val="single" w:color="auto"/>
          <w:color w:val="auto"/>
        </w:rPr>
        <w:t>Agreement</w:t>
      </w:r>
      <w:r>
        <w:rPr>
          <w:rFonts w:ascii="Times New Roman" w:cs="Times New Roman" w:eastAsia="Times New Roman" w:hAnsi="Times New Roman"/>
          <w:sz w:val="15"/>
          <w:szCs w:val="15"/>
          <w:color w:val="auto"/>
        </w:rPr>
        <w:t>”) with Evercore Group L.L.C., Guggenheim Securities, LLC, Oppenheimer &amp; Co. Inc., Northland Securities, Inc. and Wedbush Securities Inc. (each individually an “</w:t>
      </w:r>
      <w:r>
        <w:rPr>
          <w:rFonts w:ascii="Times New Roman" w:cs="Times New Roman" w:eastAsia="Times New Roman" w:hAnsi="Times New Roman"/>
          <w:sz w:val="15"/>
          <w:szCs w:val="15"/>
          <w:b w:val="1"/>
          <w:bCs w:val="1"/>
          <w:u w:val="single" w:color="auto"/>
          <w:color w:val="auto"/>
        </w:rPr>
        <w:t>Agent</w:t>
      </w:r>
      <w:r>
        <w:rPr>
          <w:rFonts w:ascii="Times New Roman" w:cs="Times New Roman" w:eastAsia="Times New Roman" w:hAnsi="Times New Roman"/>
          <w:sz w:val="15"/>
          <w:szCs w:val="15"/>
          <w:color w:val="auto"/>
        </w:rPr>
        <w:t>” and together, the “</w:t>
      </w:r>
      <w:r>
        <w:rPr>
          <w:rFonts w:ascii="Times New Roman" w:cs="Times New Roman" w:eastAsia="Times New Roman" w:hAnsi="Times New Roman"/>
          <w:sz w:val="15"/>
          <w:szCs w:val="15"/>
          <w:b w:val="1"/>
          <w:bCs w:val="1"/>
          <w:u w:val="single" w:color="auto"/>
          <w:color w:val="auto"/>
        </w:rPr>
        <w:t>Agents</w:t>
      </w:r>
      <w:r>
        <w:rPr>
          <w:rFonts w:ascii="Times New Roman" w:cs="Times New Roman" w:eastAsia="Times New Roman" w:hAnsi="Times New Roman"/>
          <w:sz w:val="15"/>
          <w:szCs w:val="15"/>
          <w:color w:val="auto"/>
        </w:rPr>
        <w:t>”), as follows:</w:t>
      </w:r>
    </w:p>
    <w:p>
      <w:pPr>
        <w:spacing w:after="0" w:line="129" w:lineRule="exact"/>
        <w:rPr>
          <w:sz w:val="20"/>
          <w:szCs w:val="20"/>
          <w:color w:val="auto"/>
        </w:rPr>
      </w:pPr>
    </w:p>
    <w:p>
      <w:pPr>
        <w:ind w:right="20" w:firstLine="541"/>
        <w:spacing w:after="0" w:line="258" w:lineRule="auto"/>
        <w:tabs>
          <w:tab w:leader="none" w:pos="702"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Issuance and Sale of Shares</w:t>
      </w:r>
      <w:r>
        <w:rPr>
          <w:rFonts w:ascii="Times New Roman" w:cs="Times New Roman" w:eastAsia="Times New Roman" w:hAnsi="Times New Roman"/>
          <w:sz w:val="15"/>
          <w:szCs w:val="15"/>
          <w:color w:val="auto"/>
        </w:rPr>
        <w:t>. The Company agrees that, from time to time during the term of this Agreement, on the terms and subject to the conditions set forth herein, it may issue and sell to or through the Agents, as sales agent or principal, up to $150,000,000 of shares of common stock (the “</w:t>
      </w:r>
      <w:r>
        <w:rPr>
          <w:rFonts w:ascii="Times New Roman" w:cs="Times New Roman" w:eastAsia="Times New Roman" w:hAnsi="Times New Roman"/>
          <w:sz w:val="15"/>
          <w:szCs w:val="15"/>
          <w:b w:val="1"/>
          <w:bCs w:val="1"/>
          <w:u w:val="single" w:color="auto"/>
          <w:color w:val="auto"/>
        </w:rPr>
        <w:t>Placement Shares</w:t>
      </w:r>
      <w:r>
        <w:rPr>
          <w:rFonts w:ascii="Times New Roman" w:cs="Times New Roman" w:eastAsia="Times New Roman" w:hAnsi="Times New Roman"/>
          <w:sz w:val="15"/>
          <w:szCs w:val="15"/>
          <w:color w:val="auto"/>
        </w:rPr>
        <w:t>”) of the Company, par value $0.0001 per share (the “</w:t>
      </w:r>
      <w:r>
        <w:rPr>
          <w:rFonts w:ascii="Times New Roman" w:cs="Times New Roman" w:eastAsia="Times New Roman" w:hAnsi="Times New Roman"/>
          <w:sz w:val="15"/>
          <w:szCs w:val="15"/>
          <w:b w:val="1"/>
          <w:bCs w:val="1"/>
          <w:u w:val="single" w:color="auto"/>
          <w:color w:val="auto"/>
        </w:rPr>
        <w:t>Common Stock</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in no event shall the Company issue or sell through the Agents such number or dollar amount of Placement Shares that would (a) exceed the number or dollar amount of shares of Common Stock registered on the effective Registration Statement (defined below)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Times New Roman" w:cs="Times New Roman" w:eastAsia="Times New Roman" w:hAnsi="Times New Roman"/>
          <w:sz w:val="15"/>
          <w:szCs w:val="15"/>
          <w:b w:val="1"/>
          <w:bCs w:val="1"/>
          <w:u w:val="single" w:color="auto"/>
          <w:color w:val="auto"/>
        </w:rPr>
        <w:t>Maximum Amount</w:t>
      </w:r>
      <w:r>
        <w:rPr>
          <w:rFonts w:ascii="Times New Roman" w:cs="Times New Roman" w:eastAsia="Times New Roman" w:hAnsi="Times New Roman"/>
          <w:sz w:val="15"/>
          <w:szCs w:val="15"/>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xml:space="preserve"> on the amount of Placement Shares issued and sold under this Agreement shall be the sole responsibility of the Company and that the Agents shall have no obligation in connection with such compliance. The offer and sale of Placement Shares through the Agents will be effected pursuant to the Registration Statement (as defined below) filed by the Company and which will be declared effective by the Securities and Exchange Commission (the “</w:t>
      </w:r>
      <w:r>
        <w:rPr>
          <w:rFonts w:ascii="Times New Roman" w:cs="Times New Roman" w:eastAsia="Times New Roman" w:hAnsi="Times New Roman"/>
          <w:sz w:val="15"/>
          <w:szCs w:val="15"/>
          <w:b w:val="1"/>
          <w:bCs w:val="1"/>
          <w:u w:val="single" w:color="auto"/>
          <w:color w:val="auto"/>
        </w:rPr>
        <w:t>Commission</w:t>
      </w:r>
      <w:r>
        <w:rPr>
          <w:rFonts w:ascii="Times New Roman" w:cs="Times New Roman" w:eastAsia="Times New Roman" w:hAnsi="Times New Roman"/>
          <w:sz w:val="15"/>
          <w:szCs w:val="15"/>
          <w:color w:val="auto"/>
        </w:rPr>
        <w:t>”), although nothing in this Agreement shall be construed as requiring the Company to use the Registration Statement to issue Common Stock.</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2" w:name="page63"/>
    <w:bookmarkEnd w:id="62"/>
    <w:p>
      <w:pPr>
        <w:ind w:right="140" w:firstLine="549"/>
        <w:spacing w:after="0" w:line="257" w:lineRule="auto"/>
        <w:rPr>
          <w:sz w:val="20"/>
          <w:szCs w:val="20"/>
          <w:color w:val="auto"/>
        </w:rPr>
      </w:pPr>
      <w:r>
        <w:rPr>
          <w:rFonts w:ascii="Times New Roman" w:cs="Times New Roman" w:eastAsia="Times New Roman" w:hAnsi="Times New Roman"/>
          <w:sz w:val="15"/>
          <w:szCs w:val="15"/>
          <w:color w:val="auto"/>
        </w:rPr>
        <w:t>The Company has prepared and will file, in accordance with the provisions of the Securities Act of 1933, as amended (the “</w:t>
      </w:r>
      <w:r>
        <w:rPr>
          <w:rFonts w:ascii="Times New Roman" w:cs="Times New Roman" w:eastAsia="Times New Roman" w:hAnsi="Times New Roman"/>
          <w:sz w:val="15"/>
          <w:szCs w:val="15"/>
          <w:b w:val="1"/>
          <w:bCs w:val="1"/>
          <w:u w:val="single" w:color="auto"/>
          <w:color w:val="auto"/>
        </w:rPr>
        <w:t>Securities Act</w:t>
      </w:r>
      <w:r>
        <w:rPr>
          <w:rFonts w:ascii="Times New Roman" w:cs="Times New Roman" w:eastAsia="Times New Roman" w:hAnsi="Times New Roman"/>
          <w:sz w:val="15"/>
          <w:szCs w:val="15"/>
          <w:color w:val="auto"/>
        </w:rPr>
        <w:t>”), and the rules and regulations thereunder (the “</w:t>
      </w:r>
      <w:r>
        <w:rPr>
          <w:rFonts w:ascii="Times New Roman" w:cs="Times New Roman" w:eastAsia="Times New Roman" w:hAnsi="Times New Roman"/>
          <w:sz w:val="15"/>
          <w:szCs w:val="15"/>
          <w:b w:val="1"/>
          <w:bCs w:val="1"/>
          <w:u w:val="single" w:color="auto"/>
          <w:color w:val="auto"/>
        </w:rPr>
        <w:t>Securities Act Regulations</w:t>
      </w:r>
      <w:r>
        <w:rPr>
          <w:rFonts w:ascii="Times New Roman" w:cs="Times New Roman" w:eastAsia="Times New Roman" w:hAnsi="Times New Roman"/>
          <w:sz w:val="15"/>
          <w:szCs w:val="15"/>
          <w:color w:val="auto"/>
        </w:rPr>
        <w:t>”), with the Commission a registration statement on Form S-3,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15"/>
          <w:szCs w:val="15"/>
          <w:b w:val="1"/>
          <w:bCs w:val="1"/>
          <w:u w:val="single" w:color="auto"/>
          <w:color w:val="auto"/>
        </w:rPr>
        <w:t>Exchange Act</w:t>
      </w:r>
      <w:r>
        <w:rPr>
          <w:rFonts w:ascii="Times New Roman" w:cs="Times New Roman" w:eastAsia="Times New Roman" w:hAnsi="Times New Roman"/>
          <w:sz w:val="15"/>
          <w:szCs w:val="15"/>
          <w:color w:val="auto"/>
        </w:rPr>
        <w:t>”), and the rules and regulations thereunder. The Company has prepared a prospectus or a prospectus supplement to the base prospectus included as part of the registration statement, which prospectus or prospectus supplement relates to the Placement Shares to be issued from time to time by the Company (the “</w:t>
      </w:r>
      <w:r>
        <w:rPr>
          <w:rFonts w:ascii="Times New Roman" w:cs="Times New Roman" w:eastAsia="Times New Roman" w:hAnsi="Times New Roman"/>
          <w:sz w:val="15"/>
          <w:szCs w:val="15"/>
          <w:b w:val="1"/>
          <w:bCs w:val="1"/>
          <w:u w:val="single" w:color="auto"/>
          <w:color w:val="auto"/>
        </w:rPr>
        <w:t>Prospectus Supplement</w:t>
      </w:r>
      <w:r>
        <w:rPr>
          <w:rFonts w:ascii="Times New Roman" w:cs="Times New Roman" w:eastAsia="Times New Roman" w:hAnsi="Times New Roman"/>
          <w:sz w:val="15"/>
          <w:szCs w:val="15"/>
          <w:color w:val="auto"/>
        </w:rPr>
        <w:t>”). The Company will furnish to the Agents, for use by the Agents, copies of the prospectus included as part of such registration statement, as supplemented by the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S-3 from time to time that will contain a base prospectus and related prospectus or prospectus supplement, if applicable (which shall be a Prospectus Supplement), with respect to the Placement Shares, is herein called the “</w:t>
      </w:r>
      <w:r>
        <w:rPr>
          <w:rFonts w:ascii="Times New Roman" w:cs="Times New Roman" w:eastAsia="Times New Roman" w:hAnsi="Times New Roman"/>
          <w:sz w:val="15"/>
          <w:szCs w:val="15"/>
          <w:b w:val="1"/>
          <w:bCs w:val="1"/>
          <w:u w:val="single" w:color="auto"/>
          <w:color w:val="auto"/>
        </w:rPr>
        <w:t>Registration Statement</w:t>
      </w:r>
      <w:r>
        <w:rPr>
          <w:rFonts w:ascii="Times New Roman" w:cs="Times New Roman" w:eastAsia="Times New Roman" w:hAnsi="Times New Roman"/>
          <w:sz w:val="15"/>
          <w:szCs w:val="15"/>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 issued Issuer Free Writing Prospectus(es) (as defined below), is herein called the “</w:t>
      </w:r>
      <w:r>
        <w:rPr>
          <w:rFonts w:ascii="Times New Roman" w:cs="Times New Roman" w:eastAsia="Times New Roman" w:hAnsi="Times New Roman"/>
          <w:sz w:val="15"/>
          <w:szCs w:val="15"/>
          <w:b w:val="1"/>
          <w:bCs w:val="1"/>
          <w:u w:val="single" w:color="auto"/>
          <w:color w:val="auto"/>
        </w:rPr>
        <w:t>Prospectus</w:t>
      </w:r>
      <w:r>
        <w:rPr>
          <w:rFonts w:ascii="Times New Roman" w:cs="Times New Roman" w:eastAsia="Times New Roman" w:hAnsi="Times New Roman"/>
          <w:sz w:val="15"/>
          <w:szCs w:val="15"/>
          <w:color w:val="auto"/>
        </w:rPr>
        <w:t>.”</w:t>
      </w:r>
    </w:p>
    <w:p>
      <w:pPr>
        <w:spacing w:after="0" w:line="164" w:lineRule="exact"/>
        <w:rPr>
          <w:sz w:val="20"/>
          <w:szCs w:val="20"/>
          <w:color w:val="auto"/>
        </w:rPr>
      </w:pPr>
    </w:p>
    <w:p>
      <w:pPr>
        <w:ind w:firstLine="549"/>
        <w:spacing w:after="0" w:line="259" w:lineRule="auto"/>
        <w:rPr>
          <w:sz w:val="20"/>
          <w:szCs w:val="20"/>
          <w:color w:val="auto"/>
        </w:rPr>
      </w:pPr>
      <w:r>
        <w:rPr>
          <w:rFonts w:ascii="Times New Roman" w:cs="Times New Roman" w:eastAsia="Times New Roman" w:hAnsi="Times New Roman"/>
          <w:sz w:val="15"/>
          <w:szCs w:val="15"/>
          <w:color w:val="auto"/>
        </w:rPr>
        <w:t>Any reference herein to the Registration Statement, any Prospectus Supplement, the Prospectus or any Issuer Free Writing Prospectus shall be deemed to refer to and include the documents, if any, incorporated by reference therein (the “</w:t>
      </w:r>
      <w:r>
        <w:rPr>
          <w:rFonts w:ascii="Times New Roman" w:cs="Times New Roman" w:eastAsia="Times New Roman" w:hAnsi="Times New Roman"/>
          <w:sz w:val="15"/>
          <w:szCs w:val="15"/>
          <w:b w:val="1"/>
          <w:bCs w:val="1"/>
          <w:u w:val="single" w:color="auto"/>
          <w:color w:val="auto"/>
        </w:rPr>
        <w:t>Incorporated Documents</w:t>
      </w:r>
      <w:r>
        <w:rPr>
          <w:rFonts w:ascii="Times New Roman" w:cs="Times New Roman" w:eastAsia="Times New Roman" w:hAnsi="Times New Roman"/>
          <w:sz w:val="15"/>
          <w:szCs w:val="15"/>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5"/>
          <w:szCs w:val="15"/>
          <w:b w:val="1"/>
          <w:bCs w:val="1"/>
          <w:u w:val="single" w:color="auto"/>
          <w:color w:val="auto"/>
        </w:rPr>
        <w:t>EDGAR</w:t>
      </w:r>
      <w:r>
        <w:rPr>
          <w:rFonts w:ascii="Times New Roman" w:cs="Times New Roman" w:eastAsia="Times New Roman" w:hAnsi="Times New Roman"/>
          <w:sz w:val="15"/>
          <w:szCs w:val="15"/>
          <w:color w:val="auto"/>
        </w:rPr>
        <w:t>”).</w:t>
      </w:r>
    </w:p>
    <w:p>
      <w:pPr>
        <w:spacing w:after="0" w:line="155" w:lineRule="exact"/>
        <w:rPr>
          <w:sz w:val="20"/>
          <w:szCs w:val="20"/>
          <w:color w:val="auto"/>
        </w:rPr>
      </w:pPr>
    </w:p>
    <w:p>
      <w:pPr>
        <w:ind w:firstLine="541"/>
        <w:spacing w:after="0" w:line="257" w:lineRule="auto"/>
        <w:tabs>
          <w:tab w:leader="none" w:pos="702"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Placements</w:t>
      </w:r>
      <w:r>
        <w:rPr>
          <w:rFonts w:ascii="Times New Roman" w:cs="Times New Roman" w:eastAsia="Times New Roman" w:hAnsi="Times New Roman"/>
          <w:sz w:val="15"/>
          <w:szCs w:val="15"/>
          <w:color w:val="auto"/>
        </w:rPr>
        <w:t>. Each time that the Company wishes to issue and sell Placement Shares hereunder (each, a “</w:t>
      </w:r>
      <w:r>
        <w:rPr>
          <w:rFonts w:ascii="Times New Roman" w:cs="Times New Roman" w:eastAsia="Times New Roman" w:hAnsi="Times New Roman"/>
          <w:sz w:val="15"/>
          <w:szCs w:val="15"/>
          <w:b w:val="1"/>
          <w:bCs w:val="1"/>
          <w:u w:val="single" w:color="auto"/>
          <w:color w:val="auto"/>
        </w:rPr>
        <w:t>Placement</w:t>
      </w:r>
      <w:r>
        <w:rPr>
          <w:rFonts w:ascii="Times New Roman" w:cs="Times New Roman" w:eastAsia="Times New Roman" w:hAnsi="Times New Roman"/>
          <w:sz w:val="15"/>
          <w:szCs w:val="15"/>
          <w:color w:val="auto"/>
        </w:rPr>
        <w:t>”), it will notify one of the Agents that the Company may select in its sole discretion from time to time (the “</w:t>
      </w:r>
      <w:r>
        <w:rPr>
          <w:rFonts w:ascii="Times New Roman" w:cs="Times New Roman" w:eastAsia="Times New Roman" w:hAnsi="Times New Roman"/>
          <w:sz w:val="15"/>
          <w:szCs w:val="15"/>
          <w:b w:val="1"/>
          <w:bCs w:val="1"/>
          <w:u w:val="single" w:color="auto"/>
          <w:color w:val="auto"/>
        </w:rPr>
        <w:t>Designated Agent</w:t>
      </w:r>
      <w:r>
        <w:rPr>
          <w:rFonts w:ascii="Times New Roman" w:cs="Times New Roman" w:eastAsia="Times New Roman" w:hAnsi="Times New Roman"/>
          <w:sz w:val="15"/>
          <w:szCs w:val="15"/>
          <w:color w:val="auto"/>
        </w:rPr>
        <w:t>”) by email notice (or other method mutually agreed to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15"/>
          <w:szCs w:val="15"/>
          <w:b w:val="1"/>
          <w:bCs w:val="1"/>
          <w:u w:val="single" w:color="auto"/>
          <w:color w:val="auto"/>
        </w:rPr>
        <w:t>Placement Notice</w:t>
      </w:r>
      <w:r>
        <w:rPr>
          <w:rFonts w:ascii="Times New Roman" w:cs="Times New Roman" w:eastAsia="Times New Roman" w:hAnsi="Times New Roman"/>
          <w:sz w:val="15"/>
          <w:szCs w:val="15"/>
          <w:color w:val="auto"/>
        </w:rPr>
        <w:t xml:space="preserve">”), the form of which is attached hereto as </w:t>
      </w:r>
      <w:r>
        <w:rPr>
          <w:rFonts w:ascii="Times New Roman" w:cs="Times New Roman" w:eastAsia="Times New Roman" w:hAnsi="Times New Roman"/>
          <w:sz w:val="15"/>
          <w:szCs w:val="15"/>
          <w:u w:val="single" w:color="auto"/>
          <w:color w:val="auto"/>
        </w:rPr>
        <w:t>Schedule 1</w:t>
      </w:r>
      <w:r>
        <w:rPr>
          <w:rFonts w:ascii="Times New Roman" w:cs="Times New Roman" w:eastAsia="Times New Roman" w:hAnsi="Times New Roman"/>
          <w:sz w:val="15"/>
          <w:szCs w:val="15"/>
          <w:color w:val="auto"/>
        </w:rPr>
        <w:t xml:space="preserve">. The receipt of each such Placement Notice shall be promptly acknowledged by the Designated Agent by email confirmation to the Company. The Placement Notice shall originate from any of the individuals authorized to act on behalf of the Company, which individuals have been identified by the Company on </w:t>
      </w:r>
      <w:r>
        <w:rPr>
          <w:rFonts w:ascii="Times New Roman" w:cs="Times New Roman" w:eastAsia="Times New Roman" w:hAnsi="Times New Roman"/>
          <w:sz w:val="15"/>
          <w:szCs w:val="15"/>
          <w:u w:val="single" w:color="auto"/>
          <w:color w:val="auto"/>
        </w:rPr>
        <w:t>Schedule 3</w:t>
      </w:r>
      <w:r>
        <w:rPr>
          <w:rFonts w:ascii="Times New Roman" w:cs="Times New Roman" w:eastAsia="Times New Roman" w:hAnsi="Times New Roman"/>
          <w:sz w:val="15"/>
          <w:szCs w:val="15"/>
          <w:color w:val="auto"/>
        </w:rPr>
        <w:t xml:space="preserve"> (with a copy to each of the other individuals from the Company listed on such schedule), and shall be addressed to each of the individuals from the Designated Agent set forth on </w:t>
      </w:r>
      <w:r>
        <w:rPr>
          <w:rFonts w:ascii="Times New Roman" w:cs="Times New Roman" w:eastAsia="Times New Roman" w:hAnsi="Times New Roman"/>
          <w:sz w:val="15"/>
          <w:szCs w:val="15"/>
          <w:u w:val="single" w:color="auto"/>
          <w:color w:val="auto"/>
        </w:rPr>
        <w:t>Schedule 3</w:t>
      </w:r>
      <w:r>
        <w:rPr>
          <w:rFonts w:ascii="Times New Roman" w:cs="Times New Roman" w:eastAsia="Times New Roman" w:hAnsi="Times New Roman"/>
          <w:sz w:val="15"/>
          <w:szCs w:val="15"/>
          <w:color w:val="auto"/>
        </w:rPr>
        <w:t xml:space="preserve">, as such </w:t>
      </w:r>
      <w:r>
        <w:rPr>
          <w:rFonts w:ascii="Times New Roman" w:cs="Times New Roman" w:eastAsia="Times New Roman" w:hAnsi="Times New Roman"/>
          <w:sz w:val="15"/>
          <w:szCs w:val="15"/>
          <w:u w:val="single" w:color="auto"/>
          <w:color w:val="auto"/>
        </w:rPr>
        <w:t>Schedule 3</w:t>
      </w:r>
      <w:r>
        <w:rPr>
          <w:rFonts w:ascii="Times New Roman" w:cs="Times New Roman" w:eastAsia="Times New Roman" w:hAnsi="Times New Roman"/>
          <w:sz w:val="15"/>
          <w:szCs w:val="15"/>
          <w:color w:val="auto"/>
        </w:rPr>
        <w:t xml:space="preserve"> may be amended from time to time by sending a written notice containing a revised Schedule 3 to the other party in the manner provided in </w:t>
      </w:r>
      <w:r>
        <w:rPr>
          <w:rFonts w:ascii="Times New Roman" w:cs="Times New Roman" w:eastAsia="Times New Roman" w:hAnsi="Times New Roman"/>
          <w:sz w:val="15"/>
          <w:szCs w:val="15"/>
          <w:u w:val="single" w:color="auto"/>
          <w:color w:val="auto"/>
        </w:rPr>
        <w:t>Section 13</w:t>
      </w:r>
      <w:r>
        <w:rPr>
          <w:rFonts w:ascii="Times New Roman" w:cs="Times New Roman" w:eastAsia="Times New Roman" w:hAnsi="Times New Roman"/>
          <w:sz w:val="15"/>
          <w:szCs w:val="15"/>
          <w:color w:val="auto"/>
        </w:rPr>
        <w:t xml:space="preserve">. The Placement Notice shall be effective unless and until (i) in accordance with the notice requirements set forth in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4, the Designated Agent declines in writing to accept the terms contained therein for any reason, in its sole discretion, (ii) the entire amount of the Placement Shares authorized to be sold thereunder have been sold, (iii) in accordance with the notice requirements set forth in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the Company suspends or terminates the Placement Notice or (iv) this Agreement has been terminated under the provisions of </w:t>
      </w:r>
      <w:r>
        <w:rPr>
          <w:rFonts w:ascii="Times New Roman" w:cs="Times New Roman" w:eastAsia="Times New Roman" w:hAnsi="Times New Roman"/>
          <w:sz w:val="15"/>
          <w:szCs w:val="15"/>
          <w:u w:val="single" w:color="auto"/>
          <w:color w:val="auto"/>
        </w:rPr>
        <w:t>Section 12</w:t>
      </w:r>
      <w:r>
        <w:rPr>
          <w:rFonts w:ascii="Times New Roman" w:cs="Times New Roman" w:eastAsia="Times New Roman" w:hAnsi="Times New Roman"/>
          <w:sz w:val="15"/>
          <w:szCs w:val="15"/>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Times New Roman" w:cs="Times New Roman" w:eastAsia="Times New Roman" w:hAnsi="Times New Roman"/>
          <w:sz w:val="15"/>
          <w:szCs w:val="15"/>
          <w:u w:val="single" w:color="auto"/>
          <w:color w:val="auto"/>
        </w:rPr>
        <w:t>Schedule 2</w:t>
      </w:r>
      <w:r>
        <w:rPr>
          <w:rFonts w:ascii="Times New Roman" w:cs="Times New Roman" w:eastAsia="Times New Roman" w:hAnsi="Times New Roman"/>
          <w:sz w:val="15"/>
          <w:szCs w:val="15"/>
          <w:color w:val="auto"/>
        </w:rPr>
        <w:t>. It 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63" w:name="page64"/>
    <w:bookmarkEnd w:id="63"/>
    <w:p>
      <w:pPr>
        <w:ind w:firstLine="541"/>
        <w:spacing w:after="0" w:line="259" w:lineRule="auto"/>
        <w:tabs>
          <w:tab w:leader="none" w:pos="702"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Sale of Placement Shares by the Designated Agent</w:t>
      </w:r>
      <w:r>
        <w:rPr>
          <w:rFonts w:ascii="Times New Roman" w:cs="Times New Roman" w:eastAsia="Times New Roman" w:hAnsi="Times New Roman"/>
          <w:sz w:val="15"/>
          <w:szCs w:val="15"/>
          <w:color w:val="auto"/>
        </w:rPr>
        <w:t xml:space="preserve">. Subject to the provisions of </w:t>
      </w:r>
      <w:r>
        <w:rPr>
          <w:rFonts w:ascii="Times New Roman" w:cs="Times New Roman" w:eastAsia="Times New Roman" w:hAnsi="Times New Roman"/>
          <w:sz w:val="15"/>
          <w:szCs w:val="15"/>
          <w:u w:val="single" w:color="auto"/>
          <w:color w:val="auto"/>
        </w:rPr>
        <w:t>Section 5(a)</w:t>
      </w:r>
      <w:r>
        <w:rPr>
          <w:rFonts w:ascii="Times New Roman" w:cs="Times New Roman" w:eastAsia="Times New Roman" w:hAnsi="Times New Roman"/>
          <w:sz w:val="15"/>
          <w:szCs w:val="15"/>
          <w:color w:val="auto"/>
        </w:rPr>
        <w:t>, the Designated Agent, for the period specified in the Placement Notice, will use its commercially reasonable efforts consistent with its normal trading and sales practices and applicable state and federal laws, rules and regulations and the rules of the Nasdaq Capital Market (the “</w:t>
      </w:r>
      <w:r>
        <w:rPr>
          <w:rFonts w:ascii="Times New Roman" w:cs="Times New Roman" w:eastAsia="Times New Roman" w:hAnsi="Times New Roman"/>
          <w:sz w:val="15"/>
          <w:szCs w:val="15"/>
          <w:b w:val="1"/>
          <w:bCs w:val="1"/>
          <w:u w:val="single" w:color="auto"/>
          <w:color w:val="auto"/>
        </w:rPr>
        <w:t>Exchange</w:t>
      </w:r>
      <w:r>
        <w:rPr>
          <w:rFonts w:ascii="Times New Roman" w:cs="Times New Roman" w:eastAsia="Times New Roman" w:hAnsi="Times New Roman"/>
          <w:sz w:val="15"/>
          <w:szCs w:val="15"/>
          <w:color w:val="auto"/>
        </w:rPr>
        <w:t xml:space="preserve">”), to sell the Placement Shares up to the amount specified in,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price or prices at which such Placement Shares were sold on such day, the compensation payable by the Company to the Designated Agent pursuant to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with respect to such sales, and the Net Proceeds (as defined below) payable to the Company, with an itemization of the deductions made by the Designated Agent (as set forth in </w:t>
      </w:r>
      <w:r>
        <w:rPr>
          <w:rFonts w:ascii="Times New Roman" w:cs="Times New Roman" w:eastAsia="Times New Roman" w:hAnsi="Times New Roman"/>
          <w:sz w:val="15"/>
          <w:szCs w:val="15"/>
          <w:u w:val="single" w:color="auto"/>
          <w:color w:val="auto"/>
        </w:rPr>
        <w:t>Section 5(b)</w:t>
      </w:r>
      <w:r>
        <w:rPr>
          <w:rFonts w:ascii="Times New Roman" w:cs="Times New Roman" w:eastAsia="Times New Roman" w:hAnsi="Times New Roman"/>
          <w:sz w:val="15"/>
          <w:szCs w:val="15"/>
          <w:color w:val="auto"/>
        </w:rPr>
        <w:t>) from the gross proceeds that it receives from such sales. Subject to the terms of the Placement Notice, the Designated Agent may sell Placement Shares by any method permitted by law deemed to be an “at the market offering” as defined in Rule 415(a)(4) of the Securities Act Regulations. “</w:t>
      </w:r>
      <w:r>
        <w:rPr>
          <w:rFonts w:ascii="Times New Roman" w:cs="Times New Roman" w:eastAsia="Times New Roman" w:hAnsi="Times New Roman"/>
          <w:sz w:val="15"/>
          <w:szCs w:val="15"/>
          <w:b w:val="1"/>
          <w:bCs w:val="1"/>
          <w:u w:val="single" w:color="auto"/>
          <w:color w:val="auto"/>
        </w:rPr>
        <w:t>Trading Day</w:t>
      </w:r>
      <w:r>
        <w:rPr>
          <w:rFonts w:ascii="Times New Roman" w:cs="Times New Roman" w:eastAsia="Times New Roman" w:hAnsi="Times New Roman"/>
          <w:sz w:val="15"/>
          <w:szCs w:val="15"/>
          <w:color w:val="auto"/>
        </w:rPr>
        <w:t>” means any day on which Common Stock is traded on the Exchange.</w:t>
      </w:r>
    </w:p>
    <w:p>
      <w:pPr>
        <w:spacing w:after="0" w:line="156" w:lineRule="exact"/>
        <w:rPr>
          <w:rFonts w:ascii="Times New Roman" w:cs="Times New Roman" w:eastAsia="Times New Roman" w:hAnsi="Times New Roman"/>
          <w:sz w:val="15"/>
          <w:szCs w:val="15"/>
          <w:color w:val="auto"/>
        </w:rPr>
      </w:pPr>
    </w:p>
    <w:p>
      <w:pPr>
        <w:ind w:firstLine="541"/>
        <w:spacing w:after="0" w:line="258" w:lineRule="auto"/>
        <w:tabs>
          <w:tab w:leader="none" w:pos="702"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Suspension of Sales</w:t>
      </w:r>
      <w:r>
        <w:rPr>
          <w:rFonts w:ascii="Times New Roman" w:cs="Times New Roman" w:eastAsia="Times New Roman" w:hAnsi="Times New Roman"/>
          <w:sz w:val="15"/>
          <w:szCs w:val="15"/>
          <w:color w:val="auto"/>
        </w:rPr>
        <w:t xml:space="preserve">. The Company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15"/>
          <w:szCs w:val="15"/>
          <w:u w:val="single" w:color="auto"/>
          <w:color w:val="auto"/>
        </w:rPr>
        <w:t>Schedule 3</w:t>
      </w:r>
      <w:r>
        <w:rPr>
          <w:rFonts w:ascii="Times New Roman" w:cs="Times New Roman" w:eastAsia="Times New Roman" w:hAnsi="Times New Roman"/>
          <w:sz w:val="15"/>
          <w:szCs w:val="15"/>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5"/>
          <w:szCs w:val="15"/>
          <w:u w:val="single" w:color="auto"/>
          <w:color w:val="auto"/>
        </w:rPr>
        <w:t>Schedule 3</w:t>
      </w:r>
      <w:r>
        <w:rPr>
          <w:rFonts w:ascii="Times New Roman" w:cs="Times New Roman" w:eastAsia="Times New Roman" w:hAnsi="Times New Roman"/>
          <w:sz w:val="15"/>
          <w:szCs w:val="15"/>
          <w:color w:val="auto"/>
        </w:rPr>
        <w:t>), suspend any sale of Placement Shares (a “</w:t>
      </w:r>
      <w:r>
        <w:rPr>
          <w:rFonts w:ascii="Times New Roman" w:cs="Times New Roman" w:eastAsia="Times New Roman" w:hAnsi="Times New Roman"/>
          <w:sz w:val="15"/>
          <w:szCs w:val="15"/>
          <w:b w:val="1"/>
          <w:bCs w:val="1"/>
          <w:u w:val="single" w:color="auto"/>
          <w:color w:val="auto"/>
        </w:rPr>
        <w:t>Suspension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15"/>
          <w:szCs w:val="15"/>
          <w:u w:val="single" w:color="auto"/>
          <w:color w:val="auto"/>
        </w:rPr>
        <w:t>Sections 7(l)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7(m)</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7(n)</w:t>
      </w:r>
      <w:r>
        <w:rPr>
          <w:rFonts w:ascii="Times New Roman" w:cs="Times New Roman" w:eastAsia="Times New Roman" w:hAnsi="Times New Roman"/>
          <w:sz w:val="15"/>
          <w:szCs w:val="15"/>
          <w:color w:val="auto"/>
        </w:rPr>
        <w:t xml:space="preserve"> with respect to the delivery of certificates, opinions, negative assurance letters or comfort letters to the Agents, shall be waived. Each of the parties agrees that no such notice under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shall be effective against any other party unless it is made to one of the individuals named on </w:t>
      </w:r>
      <w:r>
        <w:rPr>
          <w:rFonts w:ascii="Times New Roman" w:cs="Times New Roman" w:eastAsia="Times New Roman" w:hAnsi="Times New Roman"/>
          <w:sz w:val="15"/>
          <w:szCs w:val="15"/>
          <w:u w:val="single" w:color="auto"/>
          <w:color w:val="auto"/>
        </w:rPr>
        <w:t>Schedule 3</w:t>
      </w:r>
      <w:r>
        <w:rPr>
          <w:rFonts w:ascii="Times New Roman" w:cs="Times New Roman" w:eastAsia="Times New Roman" w:hAnsi="Times New Roman"/>
          <w:sz w:val="15"/>
          <w:szCs w:val="15"/>
          <w:color w:val="auto"/>
        </w:rPr>
        <w:t xml:space="preserve"> hereto, as such Schedule may be amended from time to time. Notwithstanding any other provision of this Agreement, during any period in which the Company is in possession of material non-public information, the Company and the Agents agree that (i) no sale of Placement Shares will take place, (ii) the Company shall not request the sale of any Placement Shares and shall cancel any effective Placement Notices instructing the Agent to make any sales and (iii) the Agents shall not be obligated to sell or offer to sell any Placement Shares.</w:t>
      </w:r>
    </w:p>
    <w:p>
      <w:pPr>
        <w:spacing w:after="0" w:line="160" w:lineRule="exact"/>
        <w:rPr>
          <w:rFonts w:ascii="Times New Roman" w:cs="Times New Roman" w:eastAsia="Times New Roman" w:hAnsi="Times New Roman"/>
          <w:sz w:val="15"/>
          <w:szCs w:val="15"/>
          <w:color w:val="auto"/>
        </w:rPr>
      </w:pPr>
    </w:p>
    <w:p>
      <w:pPr>
        <w:ind w:left="700" w:hanging="159"/>
        <w:spacing w:after="0"/>
        <w:tabs>
          <w:tab w:leader="none" w:pos="7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Sale and Delivery to the Designated Agent; Settlement</w:t>
      </w:r>
      <w:r>
        <w:rPr>
          <w:rFonts w:ascii="Times New Roman" w:cs="Times New Roman" w:eastAsia="Times New Roman" w:hAnsi="Times New Roman"/>
          <w:sz w:val="15"/>
          <w:szCs w:val="15"/>
          <w:color w:val="auto"/>
        </w:rPr>
        <w:t>.</w:t>
      </w:r>
    </w:p>
    <w:p>
      <w:pPr>
        <w:spacing w:after="0" w:line="189" w:lineRule="exact"/>
        <w:rPr>
          <w:rFonts w:ascii="Times New Roman" w:cs="Times New Roman" w:eastAsia="Times New Roman" w:hAnsi="Times New Roman"/>
          <w:sz w:val="15"/>
          <w:szCs w:val="15"/>
          <w:color w:val="auto"/>
        </w:rPr>
      </w:pPr>
    </w:p>
    <w:p>
      <w:pPr>
        <w:ind w:right="20" w:firstLine="1091"/>
        <w:spacing w:after="0" w:line="259" w:lineRule="auto"/>
        <w:tabs>
          <w:tab w:leader="none" w:pos="1306"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Sale of Placement Shares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and regulations to sell such Placement Shares up to the amount specified in,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and regulations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64" w:name="page65"/>
    <w:bookmarkEnd w:id="64"/>
    <w:p>
      <w:pPr>
        <w:ind w:firstLine="1091"/>
        <w:spacing w:after="0" w:line="261" w:lineRule="auto"/>
        <w:tabs>
          <w:tab w:leader="none" w:pos="1315"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Settlement of Placement Shares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Unless otherwise specified in the applicable Placement Notice, settlement for sales of Placement Shares will occur on the first (1st) Trading Day (or such earlier day as is industry practice for regular-way trading) following the date on which such sales are made (each, a “</w:t>
      </w:r>
      <w:r>
        <w:rPr>
          <w:rFonts w:ascii="Times New Roman" w:cs="Times New Roman" w:eastAsia="Times New Roman" w:hAnsi="Times New Roman"/>
          <w:sz w:val="15"/>
          <w:szCs w:val="15"/>
          <w:b w:val="1"/>
          <w:bCs w:val="1"/>
          <w:u w:val="single" w:color="auto"/>
          <w:color w:val="auto"/>
        </w:rPr>
        <w:t>Settlement Date</w:t>
      </w:r>
      <w:r>
        <w:rPr>
          <w:rFonts w:ascii="Times New Roman" w:cs="Times New Roman" w:eastAsia="Times New Roman" w:hAnsi="Times New Roman"/>
          <w:sz w:val="15"/>
          <w:szCs w:val="15"/>
          <w:color w:val="auto"/>
        </w:rPr>
        <w:t>”). The Designated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5"/>
          <w:szCs w:val="15"/>
          <w:b w:val="1"/>
          <w:bCs w:val="1"/>
          <w:u w:val="single" w:color="auto"/>
          <w:color w:val="auto"/>
        </w:rPr>
        <w:t>Net Proceeds</w:t>
      </w:r>
      <w:r>
        <w:rPr>
          <w:rFonts w:ascii="Times New Roman" w:cs="Times New Roman" w:eastAsia="Times New Roman" w:hAnsi="Times New Roman"/>
          <w:sz w:val="15"/>
          <w:szCs w:val="15"/>
          <w:color w:val="auto"/>
        </w:rPr>
        <w:t xml:space="preserve">”) will be equal to the aggregate sales price received by the Designated Agent, after deduction for (i) the Designated Agent’s commission, discount or other compensation for such sales payable by the Company pursuant to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hereof, (ii) any other amounts due and payable by the Company to the Agent hereunder pursuant to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hereof and (iii) any transaction fees imposed by any Governmental Authority in respect of such sales.</w:t>
      </w:r>
    </w:p>
    <w:p>
      <w:pPr>
        <w:spacing w:after="0" w:line="156" w:lineRule="exact"/>
        <w:rPr>
          <w:rFonts w:ascii="Times New Roman" w:cs="Times New Roman" w:eastAsia="Times New Roman" w:hAnsi="Times New Roman"/>
          <w:sz w:val="15"/>
          <w:szCs w:val="15"/>
          <w:color w:val="auto"/>
        </w:rPr>
      </w:pPr>
    </w:p>
    <w:p>
      <w:pPr>
        <w:ind w:right="20" w:firstLine="1091"/>
        <w:spacing w:after="0" w:line="257" w:lineRule="auto"/>
        <w:tabs>
          <w:tab w:leader="none" w:pos="1306"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Delivery of Placement Shares</w:t>
      </w:r>
      <w:r>
        <w:rPr>
          <w:rFonts w:ascii="Times New Roman" w:cs="Times New Roman" w:eastAsia="Times New Roman" w:hAnsi="Times New Roman"/>
          <w:sz w:val="15"/>
          <w:szCs w:val="15"/>
          <w:color w:val="auto"/>
        </w:rPr>
        <w:t>.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and such designee’s account information at least one Trading Day prior to the Settlement Date) at The Depository Trust Company through its Deposit and Withdrawal at Custodian System (“</w:t>
      </w:r>
      <w:r>
        <w:rPr>
          <w:rFonts w:ascii="Times New Roman" w:cs="Times New Roman" w:eastAsia="Times New Roman" w:hAnsi="Times New Roman"/>
          <w:sz w:val="15"/>
          <w:szCs w:val="15"/>
          <w:b w:val="1"/>
          <w:bCs w:val="1"/>
          <w:u w:val="single" w:color="auto"/>
          <w:color w:val="auto"/>
        </w:rPr>
        <w:t>DWAC</w:t>
      </w:r>
      <w:r>
        <w:rPr>
          <w:rFonts w:ascii="Times New Roman" w:cs="Times New Roman" w:eastAsia="Times New Roman" w:hAnsi="Times New Roman"/>
          <w:sz w:val="15"/>
          <w:szCs w:val="15"/>
          <w:color w:val="auto"/>
        </w:rPr>
        <w:t xml:space="preserve">”)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The Designated Agent will be responsible for providing DWAC instructions or instructions for delivery by other means with respect to the transfer of the Placement Shares being sold. The Company agrees that if the Company, or its transfer agent (if applicable), defaults in its obligation to deliver Placement Shares on a Settlement Date through no fault of the Designated Agent, the Company agrees that in addition to and in no way limiting the rights and obligations set forth in </w:t>
      </w:r>
      <w:r>
        <w:rPr>
          <w:rFonts w:ascii="Times New Roman" w:cs="Times New Roman" w:eastAsia="Times New Roman" w:hAnsi="Times New Roman"/>
          <w:sz w:val="15"/>
          <w:szCs w:val="15"/>
          <w:u w:val="single" w:color="auto"/>
          <w:color w:val="auto"/>
        </w:rPr>
        <w:t>Section 10(a)</w:t>
      </w:r>
      <w:r>
        <w:rPr>
          <w:rFonts w:ascii="Times New Roman" w:cs="Times New Roman" w:eastAsia="Times New Roman" w:hAnsi="Times New Roman"/>
          <w:sz w:val="15"/>
          <w:szCs w:val="15"/>
          <w:color w:val="auto"/>
        </w:rPr>
        <w:t xml:space="preserve"> hereto, it will (i) hold the Designated Agent harmless against any loss, claim, damage, or reasonable, documented expense (including reasonable and documented legal fees and expenses), as incurred, arising out of or in connection with such default by the Company or its transfer agent (if applicable), (ii) pay to the Designated Agent (without duplication) any commission, discount, or other compensation to which it would otherwise have been entitled absent such default and (iii) take all action reasonably necessary to cause the full amount of any Net Proceeds that were delivered to the Company’s account with respect to such settlement, together with any costs incurred by the Designated Agent and/or its clearing firm in connection with recovering such Net Proceeds, to be immediately returned to the Designated Agent or its clearing firm no later than 5:00 P.M., New York City time, on such Settlement Date, by wire transfer of immediately available funds to an account designated by the Designated Agent or its clearing firm.</w:t>
      </w:r>
    </w:p>
    <w:p>
      <w:pPr>
        <w:spacing w:after="0" w:line="157" w:lineRule="exact"/>
        <w:rPr>
          <w:rFonts w:ascii="Times New Roman" w:cs="Times New Roman" w:eastAsia="Times New Roman" w:hAnsi="Times New Roman"/>
          <w:sz w:val="15"/>
          <w:szCs w:val="15"/>
          <w:color w:val="auto"/>
        </w:rPr>
      </w:pPr>
    </w:p>
    <w:p>
      <w:pPr>
        <w:ind w:firstLine="1091"/>
        <w:spacing w:after="0" w:line="261" w:lineRule="auto"/>
        <w:tabs>
          <w:tab w:leader="none" w:pos="1315"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Limitations on Offering Size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Designated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156" w:lineRule="exact"/>
        <w:rPr>
          <w:rFonts w:ascii="Times New Roman" w:cs="Times New Roman" w:eastAsia="Times New Roman" w:hAnsi="Times New Roman"/>
          <w:sz w:val="15"/>
          <w:szCs w:val="15"/>
          <w:color w:val="auto"/>
        </w:rPr>
      </w:pPr>
    </w:p>
    <w:p>
      <w:pPr>
        <w:jc w:val="both"/>
        <w:ind w:right="60" w:firstLine="1091"/>
        <w:spacing w:after="0" w:line="272" w:lineRule="auto"/>
        <w:tabs>
          <w:tab w:leader="none" w:pos="1306"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Sales Through Agents</w:t>
      </w:r>
      <w:r>
        <w:rPr>
          <w:rFonts w:ascii="Times New Roman" w:cs="Times New Roman" w:eastAsia="Times New Roman" w:hAnsi="Times New Roman"/>
          <w:sz w:val="15"/>
          <w:szCs w:val="15"/>
          <w:color w:val="auto"/>
        </w:rPr>
        <w:t>. With respect to the offering and sale of Placement Shares pursuant to this Agreement, the Company agrees that any offer to sell Placement Shares, any solicitation of an offer to buy Placement Shares, and any sales of Placement Shares shall only be effected by or through the Designated Agent on any single given day, and the Company shall in no event request that more than one Agent offer or sell Placement Shares pursuant to this Agreement on the same day.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65" w:name="page66"/>
    <w:bookmarkEnd w:id="65"/>
    <w:p>
      <w:pPr>
        <w:ind w:right="100" w:firstLine="541"/>
        <w:spacing w:after="0" w:line="290" w:lineRule="auto"/>
        <w:tabs>
          <w:tab w:leader="none" w:pos="702"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 of the Company</w:t>
      </w:r>
      <w:r>
        <w:rPr>
          <w:rFonts w:ascii="Times New Roman" w:cs="Times New Roman" w:eastAsia="Times New Roman" w:hAnsi="Times New Roman"/>
          <w:sz w:val="15"/>
          <w:szCs w:val="15"/>
          <w:color w:val="auto"/>
        </w:rPr>
        <w:t>. The Company represents and warrants to, and agrees with each Agent that as of the date of this Agreement and as of each Applicable Time (as defined below):</w:t>
      </w:r>
    </w:p>
    <w:p>
      <w:pPr>
        <w:spacing w:after="0" w:line="132" w:lineRule="exact"/>
        <w:rPr>
          <w:rFonts w:ascii="Times New Roman" w:cs="Times New Roman" w:eastAsia="Times New Roman" w:hAnsi="Times New Roman"/>
          <w:sz w:val="15"/>
          <w:szCs w:val="15"/>
          <w:color w:val="auto"/>
        </w:rPr>
      </w:pPr>
    </w:p>
    <w:p>
      <w:pPr>
        <w:ind w:right="20" w:firstLine="1091"/>
        <w:spacing w:after="0" w:line="259" w:lineRule="auto"/>
        <w:tabs>
          <w:tab w:leader="none" w:pos="1306"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 At the time the Registration Statement was or will be originally declared effective, and at the time the Company’s most recent Annual Report on Form 10-K was filed with the Commission, the Company met or will meet the then applicable requirements for the use of Form S-3 under the Securities Act, including, but not limited to, General Instruction I.B.1. of Form S-3. As of each Applicable Time, the Registration Statement will be effective. No post-effective amendment to the Registration Statement has been filed; no stop order suspending the effectiveness of the Registration Statement has been issued under the Securities Act and no proceedings for that purpose or pursuant to Section 8A of the Securities Act have been instituted or are pending or, to the knowledge of the Company, are contemplated by the Commission, and any request on the part of the Commission for additional information has been complied with.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w:t>
      </w:r>
    </w:p>
    <w:p>
      <w:pPr>
        <w:spacing w:after="0" w:line="159" w:lineRule="exact"/>
        <w:rPr>
          <w:rFonts w:ascii="Times New Roman" w:cs="Times New Roman" w:eastAsia="Times New Roman" w:hAnsi="Times New Roman"/>
          <w:sz w:val="15"/>
          <w:szCs w:val="15"/>
          <w:color w:val="auto"/>
        </w:rPr>
      </w:pPr>
    </w:p>
    <w:p>
      <w:pPr>
        <w:ind w:firstLine="1091"/>
        <w:spacing w:after="0" w:line="258" w:lineRule="auto"/>
        <w:tabs>
          <w:tab w:leader="none" w:pos="1315"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Registration Requirements</w:t>
      </w:r>
      <w:r>
        <w:rPr>
          <w:rFonts w:ascii="Times New Roman" w:cs="Times New Roman" w:eastAsia="Times New Roman" w:hAnsi="Times New Roman"/>
          <w:sz w:val="15"/>
          <w:szCs w:val="15"/>
          <w:color w:val="auto"/>
        </w:rPr>
        <w:t>. (i) (A) At the respective times the Registration Statement and each amendment thereto became effective, (B) at each deemed effective date with respect to the Agents pursuant to Rule 430B(f)(2) under the Securities Act (each, a “</w:t>
      </w:r>
      <w:r>
        <w:rPr>
          <w:rFonts w:ascii="Times New Roman" w:cs="Times New Roman" w:eastAsia="Times New Roman" w:hAnsi="Times New Roman"/>
          <w:sz w:val="15"/>
          <w:szCs w:val="15"/>
          <w:b w:val="1"/>
          <w:bCs w:val="1"/>
          <w:u w:val="single" w:color="auto"/>
          <w:color w:val="auto"/>
        </w:rPr>
        <w:t>Deemed Effective Time</w:t>
      </w:r>
      <w:r>
        <w:rPr>
          <w:rFonts w:ascii="Times New Roman" w:cs="Times New Roman" w:eastAsia="Times New Roman" w:hAnsi="Times New Roman"/>
          <w:sz w:val="15"/>
          <w:szCs w:val="15"/>
          <w:color w:val="auto"/>
        </w:rPr>
        <w:t>”), (C) each Applicable Time and (D) at all times during which a prospectus is required by the Securities Act to be delivered (whether physically or through compliance with Rule 172 under the Securities Act or any similar rule) in connection with any sale of Placement Shares (the “</w:t>
      </w:r>
      <w:r>
        <w:rPr>
          <w:rFonts w:ascii="Times New Roman" w:cs="Times New Roman" w:eastAsia="Times New Roman" w:hAnsi="Times New Roman"/>
          <w:sz w:val="15"/>
          <w:szCs w:val="15"/>
          <w:b w:val="1"/>
          <w:bCs w:val="1"/>
          <w:u w:val="single" w:color="auto"/>
          <w:color w:val="auto"/>
        </w:rPr>
        <w:t>Delivery Period</w:t>
      </w:r>
      <w:r>
        <w:rPr>
          <w:rFonts w:ascii="Times New Roman" w:cs="Times New Roman" w:eastAsia="Times New Roman" w:hAnsi="Times New Roman"/>
          <w:sz w:val="15"/>
          <w:szCs w:val="15"/>
          <w:color w:val="auto"/>
        </w:rPr>
        <w:t>”), the Registration Statement complied and will comply in all material respects with the requirements of the Securities Act; (ii) the base prospectus included as part of the Registration Statement, complied at the time it was filed with the Commission, complies as of the date hereof and, as of each Applicable Time and at all times during the Delivery Period, will comply in all material respects with the rules and regulations under the Securities Act; (iii) the Prospectus will comply, as of the date that such document is filed with the Commission, as of each Applicable Time and at all times during the Delivery Period, in all material respects with the rules and regulations under the Securities Act; and (iv) the Incorporated Documents, when they were filed with the Commission, conformed in all material respects to the requirements of the Exchange Act, and any further Incorporated Documents so filed and incorporated by reference, when they are filed with the Commission, will conform in all material respects to the requirements of the Exchange Act.</w:t>
      </w:r>
    </w:p>
    <w:p>
      <w:pPr>
        <w:spacing w:after="0" w:line="160" w:lineRule="exact"/>
        <w:rPr>
          <w:rFonts w:ascii="Times New Roman" w:cs="Times New Roman" w:eastAsia="Times New Roman" w:hAnsi="Times New Roman"/>
          <w:sz w:val="15"/>
          <w:szCs w:val="15"/>
          <w:color w:val="auto"/>
        </w:rPr>
      </w:pPr>
    </w:p>
    <w:p>
      <w:pPr>
        <w:ind w:firstLine="1091"/>
        <w:spacing w:after="0" w:line="258" w:lineRule="auto"/>
        <w:tabs>
          <w:tab w:leader="none" w:pos="1306" w:val="left"/>
        </w:tabs>
        <w:numPr>
          <w:ilvl w:val="1"/>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General Disclosure Package</w:t>
      </w:r>
      <w:r>
        <w:rPr>
          <w:rFonts w:ascii="Times New Roman" w:cs="Times New Roman" w:eastAsia="Times New Roman" w:hAnsi="Times New Roman"/>
          <w:sz w:val="15"/>
          <w:szCs w:val="15"/>
          <w:color w:val="auto"/>
        </w:rPr>
        <w:t>. (i) As of the date hereof, at the respective times that the Registration Statement and each amendment thereto became effective and at each Deemed Effective Time, the Registration Statement did not and will not contain an untrue statement of a material fact or omit to state a material fact required to be stated therein or necessary to make the statements therein not misleading; (ii) as of each Applicable Time, the Prospectus (as amended and supplemented at such Applicable Time) and any Permitted Free Writing Prospectus then in use, considered together (collectively, the “</w:t>
      </w:r>
      <w:r>
        <w:rPr>
          <w:rFonts w:ascii="Times New Roman" w:cs="Times New Roman" w:eastAsia="Times New Roman" w:hAnsi="Times New Roman"/>
          <w:sz w:val="15"/>
          <w:szCs w:val="15"/>
          <w:b w:val="1"/>
          <w:bCs w:val="1"/>
          <w:u w:val="single" w:color="auto"/>
          <w:color w:val="auto"/>
        </w:rPr>
        <w:t>General Disclosure Package</w:t>
      </w:r>
      <w:r>
        <w:rPr>
          <w:rFonts w:ascii="Times New Roman" w:cs="Times New Roman" w:eastAsia="Times New Roman" w:hAnsi="Times New Roman"/>
          <w:sz w:val="15"/>
          <w:szCs w:val="15"/>
          <w:color w:val="auto"/>
        </w:rPr>
        <w:t xml:space="preserve">”), did not contain and will not contain any untrue statement of a material fact or omit to state any material fact necessary in order to make the statements therein, in the light of the circumstances under which they were made, not misleading; (iii) as of its date, the Prospectus did not contain an untrue statement of a material fact or omit to state a material fact necessary in order to make the statements therein, in the light of the circumstances under which they were made, not misleading; and (iv) at any Settlement Date, the Prospectus (as amended and supplemented at such Settlement Date) did not and will not contain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this representation and warranty shall not apply to any statement or omission made in reliance upon and in conformity with information furnished in writing to the Company by the Agents expressly for use in the Prospectus or in the General Disclosure Package, it being understood and agreed that the only such information furnished by the Agents to the Company consists of “Agents Information” as defined below.</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66" w:name="page67"/>
    <w:bookmarkEnd w:id="66"/>
    <w:p>
      <w:pPr>
        <w:ind w:right="20" w:firstLine="1091"/>
        <w:spacing w:after="0" w:line="258" w:lineRule="auto"/>
        <w:tabs>
          <w:tab w:leader="none" w:pos="1315"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Issuer Free Writing Prospectus</w:t>
      </w:r>
      <w:r>
        <w:rPr>
          <w:rFonts w:ascii="Times New Roman" w:cs="Times New Roman" w:eastAsia="Times New Roman" w:hAnsi="Times New Roman"/>
          <w:sz w:val="15"/>
          <w:szCs w:val="15"/>
          <w:color w:val="auto"/>
        </w:rPr>
        <w:t xml:space="preserve">. Any free writing prospectus that the Company was or is required to file pursuant to Rule 433(d) under the Securities Act has been, or will be, filed with the Commission in accordance with the requirements of the Securities Act and the applicable rules and regulations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thereunder. Each free writing prospectus, as of its issue date and at all subsequent times through the completion of the public offer and sale of the Placement Shares or until any earlier date that the Company notified or notifies the Agents, did not, does not and will not include any material information that conflicted, conflicts or will conflict with the information contained in the Registration Statement or the Prospectus;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this representation and warranty shall not apply to any statement or omission made in reliance upon and in conformity with the Agents Information. Each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broadly available road show, if any, when considered together with the General Disclosure Package, does not contain any untrue statement of a material fact or omit to state a material fact necessary to make the statements therein, in the light of the circumstances under which they were made, not misleading;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this representation and warranty shall not apply to any statement or omission made in reliance upon and in conformity with the Agents Information. Except for the Permitted Free Writing Prospectuses, if any, and electronic road shows, if any, furnished to and approved by the Agents, the Company has not prepared, used or referred to, and will not, prepare, use or refer to, any free writing prospectus.</w:t>
      </w:r>
    </w:p>
    <w:p>
      <w:pPr>
        <w:spacing w:after="0" w:line="341" w:lineRule="exact"/>
        <w:rPr>
          <w:rFonts w:ascii="Times New Roman" w:cs="Times New Roman" w:eastAsia="Times New Roman" w:hAnsi="Times New Roman"/>
          <w:sz w:val="15"/>
          <w:szCs w:val="15"/>
          <w:color w:val="auto"/>
        </w:rPr>
      </w:pPr>
    </w:p>
    <w:p>
      <w:pPr>
        <w:ind w:right="40" w:firstLine="1091"/>
        <w:spacing w:after="0" w:line="262" w:lineRule="auto"/>
        <w:tabs>
          <w:tab w:leader="none" w:pos="1306"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Incorporated Documents</w:t>
      </w:r>
      <w:r>
        <w:rPr>
          <w:rFonts w:ascii="Times New Roman" w:cs="Times New Roman" w:eastAsia="Times New Roman" w:hAnsi="Times New Roman"/>
          <w:sz w:val="15"/>
          <w:szCs w:val="15"/>
          <w:color w:val="auto"/>
        </w:rPr>
        <w:t>. The Incorporated Documents,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General Disclosure Package or the Prospectus,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spacing w:after="0" w:line="340" w:lineRule="exact"/>
        <w:rPr>
          <w:rFonts w:ascii="Times New Roman" w:cs="Times New Roman" w:eastAsia="Times New Roman" w:hAnsi="Times New Roman"/>
          <w:sz w:val="15"/>
          <w:szCs w:val="15"/>
          <w:color w:val="auto"/>
        </w:rPr>
      </w:pPr>
    </w:p>
    <w:p>
      <w:pPr>
        <w:ind w:firstLine="1091"/>
        <w:spacing w:after="0" w:line="257" w:lineRule="auto"/>
        <w:tabs>
          <w:tab w:leader="none" w:pos="1289"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Financial Statements</w:t>
      </w:r>
      <w:r>
        <w:rPr>
          <w:rFonts w:ascii="Times New Roman" w:cs="Times New Roman" w:eastAsia="Times New Roman" w:hAnsi="Times New Roman"/>
          <w:sz w:val="15"/>
          <w:szCs w:val="15"/>
          <w:color w:val="auto"/>
        </w:rPr>
        <w:t>. The financial statements of the Company filed with the Commission and included or incorporated by reference in the Registration Statement, the General Disclosure Package or the Prospectus, present fairly in all material respects the financial condition of the Company as of and at the dates indicated, and each of the statements of operations, cash flows and stockholders’ equity of the Company for the periods specified; such financial statements have been prepared in conformity with generally accepted accounting principles in the United States of America (“</w:t>
      </w:r>
      <w:r>
        <w:rPr>
          <w:rFonts w:ascii="Times New Roman" w:cs="Times New Roman" w:eastAsia="Times New Roman" w:hAnsi="Times New Roman"/>
          <w:sz w:val="15"/>
          <w:szCs w:val="15"/>
          <w:b w:val="1"/>
          <w:bCs w:val="1"/>
          <w:u w:val="single" w:color="auto"/>
          <w:color w:val="auto"/>
        </w:rPr>
        <w:t>GAAP</w:t>
      </w:r>
      <w:r>
        <w:rPr>
          <w:rFonts w:ascii="Times New Roman" w:cs="Times New Roman" w:eastAsia="Times New Roman" w:hAnsi="Times New Roman"/>
          <w:sz w:val="15"/>
          <w:szCs w:val="15"/>
          <w:color w:val="auto"/>
        </w:rPr>
        <w:t>”) applied on a consistent basis throughout the periods involved except to the extent disclosed in the notes thereto. There are no financial statements (historical or pro forma) that are required to be included or incorporated by reference in the Registration Statement, the General Disclosure Package or the Prospectus that are not included or incorporated by reference as required. All non-GAAP financial measures (as defined in Regulation G promulgated by the Commission pursuant to the Exchange Act) and ratios derived using non-GAAP financial measures included or incorporated by reference in the Registration Statement, the General Disclosure Package or the Prospectus have been presented in compliance with Item 10 of Regulation S-K. To the extent applicable, any pro forma financial statements, information or data included or incorporated by reference in the Registration Statement, the General Disclosure Package or the Prospectus comply with the requirements of Regulation S-X of the Securities Act, including, without limitation, Article 8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Except as disclosed in the General Disclosure Package or the Prospectus, the Company is not party to any off-balance sheet transactions, arrangements, obligations (including contingent obligations) or other persons that may have a material current or future effect on the Company’s financial condition, changes in financial condition, results of operations, liquidity, capital expenditures, capital resources or significant components of revenues or expenses. The interactive data in eXtensible Business Reporting Language included or incorporated by reference in the Registration Statement, the General Disclosure Package or the Prospectus fairly presents the information called for in all material respects and has been prepared in all material respects in accordance with the Commission’s rules and guidelines applicable thereto.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7" w:name="page68"/>
    <w:bookmarkEnd w:id="67"/>
    <w:p>
      <w:pPr>
        <w:ind w:firstLine="1091"/>
        <w:spacing w:after="0" w:line="258" w:lineRule="auto"/>
        <w:tabs>
          <w:tab w:leader="none" w:pos="1315"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Material Adverse Effect</w:t>
      </w:r>
      <w:r>
        <w:rPr>
          <w:rFonts w:ascii="Times New Roman" w:cs="Times New Roman" w:eastAsia="Times New Roman" w:hAnsi="Times New Roman"/>
          <w:sz w:val="15"/>
          <w:szCs w:val="15"/>
          <w:color w:val="auto"/>
        </w:rPr>
        <w:t>. Except as otherwise set forth in the Registration Statement, the General Disclosure Package or the Prospectus, since the date of the latest audited financial statements included in the General Disclosure Package, there has been no (i) material adverse change, or any development involving a prospective material adverse change, in or affecting the condition, financial or otherwise, or in the assets, earnings, business, properties, management, results of operations or prospects of the Company and its Subsidiaries (as defined below) taken as a whole, whether or not arising in the ordinary course of business, or the ability of the Company to perform its obligations under this Agreement, individually or in the aggregate (a “</w:t>
      </w:r>
      <w:r>
        <w:rPr>
          <w:rFonts w:ascii="Times New Roman" w:cs="Times New Roman" w:eastAsia="Times New Roman" w:hAnsi="Times New Roman"/>
          <w:sz w:val="15"/>
          <w:szCs w:val="15"/>
          <w:b w:val="1"/>
          <w:bCs w:val="1"/>
          <w:u w:val="single" w:color="auto"/>
          <w:color w:val="auto"/>
        </w:rPr>
        <w:t>Material Adverse Effect</w:t>
      </w:r>
      <w:r>
        <w:rPr>
          <w:rFonts w:ascii="Times New Roman" w:cs="Times New Roman" w:eastAsia="Times New Roman" w:hAnsi="Times New Roman"/>
          <w:sz w:val="15"/>
          <w:szCs w:val="15"/>
          <w:color w:val="auto"/>
        </w:rPr>
        <w:t>”); (ii) transaction which is material to the Company and its Subsidiaries taken as a whole; (iii) liability or obligation, direct or contingent (including without limitation any off-balance sheet obligations or any losses or interference with business from fire, explosion, flood, earthquakes, accident or other calamity, whether or not covered by insurance, or from any strike, labor dispute or court or governmental action, order or decree), incurred by the Company or any Subsidiary, which is material to the Company and its Subsidiaries taken as a whole, individually or in the aggregate; (iv) change in the capital stock of the Company or its Subsidiaries (other than as described in the Registration Statement or the issuance or retention of shares of Common Stock upon the exercise of stock options or the vesting, exercise or settlement of other awards described as outstanding in, and the grant of options and awards under other existing equity incentive plans described in, the Registration Statement, the General Disclosure Package or the Prospectus); (v) material change in the outstanding indebtedness of the Company or its Subsidiaries; (vi) dividend or distribution of any kind declared, paid or made on the capital stock of the Company or any Subsidiary; or (vii) alteration in the Company’s method of accounting.</w:t>
      </w:r>
    </w:p>
    <w:p>
      <w:pPr>
        <w:spacing w:after="0" w:line="156" w:lineRule="exact"/>
        <w:rPr>
          <w:rFonts w:ascii="Times New Roman" w:cs="Times New Roman" w:eastAsia="Times New Roman" w:hAnsi="Times New Roman"/>
          <w:sz w:val="15"/>
          <w:szCs w:val="15"/>
          <w:color w:val="auto"/>
        </w:rPr>
      </w:pPr>
    </w:p>
    <w:p>
      <w:pPr>
        <w:ind w:right="140" w:firstLine="1091"/>
        <w:spacing w:after="0" w:line="261" w:lineRule="auto"/>
        <w:tabs>
          <w:tab w:leader="none" w:pos="1315"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Organization and Good Standing</w:t>
      </w:r>
      <w:r>
        <w:rPr>
          <w:rFonts w:ascii="Times New Roman" w:cs="Times New Roman" w:eastAsia="Times New Roman" w:hAnsi="Times New Roman"/>
          <w:sz w:val="15"/>
          <w:szCs w:val="15"/>
          <w:color w:val="auto"/>
        </w:rPr>
        <w:t>. The Company and each of the Subsidiaries (as defined below) have been duly incorporated and is validly existing as a corporation in good standing under the laws of the respective jurisdiction of its incorporation or organization with power and authority (corporate and other) to own, lease and operate its properties and conduct its business as described in the Registration Statement, the General Disclosure Package and the Prospectus and currently conducted and to enter into and perform its obligations under this Agreement, and has been duly qualified as a foreign corporation for the transaction of business and is in good standing under the laws of each other jurisdiction in which it owns or leases properties or conducts any business so as to require such qualification, except where the failure so to qualify or be in good standing would not have a Material Adverse Effect.</w:t>
      </w:r>
    </w:p>
    <w:p>
      <w:pPr>
        <w:spacing w:after="0" w:line="156" w:lineRule="exact"/>
        <w:rPr>
          <w:rFonts w:ascii="Times New Roman" w:cs="Times New Roman" w:eastAsia="Times New Roman" w:hAnsi="Times New Roman"/>
          <w:sz w:val="15"/>
          <w:szCs w:val="15"/>
          <w:color w:val="auto"/>
        </w:rPr>
      </w:pPr>
    </w:p>
    <w:p>
      <w:pPr>
        <w:ind w:firstLine="1091"/>
        <w:spacing w:after="0" w:line="260" w:lineRule="auto"/>
        <w:tabs>
          <w:tab w:leader="none" w:pos="1281"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Capitalization</w:t>
      </w:r>
      <w:r>
        <w:rPr>
          <w:rFonts w:ascii="Times New Roman" w:cs="Times New Roman" w:eastAsia="Times New Roman" w:hAnsi="Times New Roman"/>
          <w:sz w:val="15"/>
          <w:szCs w:val="15"/>
          <w:color w:val="auto"/>
        </w:rPr>
        <w:t>. The Company has an authorized capitalization as set forth in the Registration Statement, the General Disclosure Package and the Prospectus, and all of the issued and outstanding shares of Common Stock of the Company have been duly and validly authorized and issued, including in compliance with all federal and state securities laws, are fully paid and non-assessable and conform to the descriptions thereof contained in the Registration Statement, the General Disclosure Package and the Prospectus and are free and clear of any security interest, mortgage, pledge, lien, encumbrance or adverse claim; and none of the issued and outstanding shares of capital stock of the Company are subject to any preemptive or similar rights. Except as disclosed in or contemplated by the Registration Statement, the General Disclosure Package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57" w:lineRule="exact"/>
        <w:rPr>
          <w:rFonts w:ascii="Times New Roman" w:cs="Times New Roman" w:eastAsia="Times New Roman" w:hAnsi="Times New Roman"/>
          <w:sz w:val="15"/>
          <w:szCs w:val="15"/>
          <w:color w:val="auto"/>
        </w:rPr>
      </w:pPr>
    </w:p>
    <w:p>
      <w:pPr>
        <w:ind w:right="60" w:firstLine="1091"/>
        <w:spacing w:after="0" w:line="263" w:lineRule="auto"/>
        <w:tabs>
          <w:tab w:leader="none" w:pos="1281"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The Placement Shares</w:t>
      </w:r>
      <w:r>
        <w:rPr>
          <w:rFonts w:ascii="Times New Roman" w:cs="Times New Roman" w:eastAsia="Times New Roman" w:hAnsi="Times New Roman"/>
          <w:sz w:val="15"/>
          <w:szCs w:val="15"/>
          <w:color w:val="auto"/>
        </w:rPr>
        <w:t>. The Placement Shares have been, and as of each Settlement Date will be, duly authorized, and when issued and delivered in accordance with the terms of this Agreement against payment therefor in accordance with the terms hereof, will be validly issued, including in compliance with all federal and state securities laws, fully paid and non-assessable, free and clear of any pledge, lien, encumbrance, security interest or other claim, will be registered pursuant to Section 12 of the Exchange Act and will conform to the descriptions thereof contained in the Registration Statement, the General Disclosure Package and the Prospectus and the issuance of such Placement Shares will not be subject to any preemptive, resale rights, rights of first refusal or similar rights.</w:t>
      </w:r>
    </w:p>
    <w:p>
      <w:pPr>
        <w:spacing w:after="0" w:line="153" w:lineRule="exact"/>
        <w:rPr>
          <w:rFonts w:ascii="Times New Roman" w:cs="Times New Roman" w:eastAsia="Times New Roman" w:hAnsi="Times New Roman"/>
          <w:sz w:val="15"/>
          <w:szCs w:val="15"/>
          <w:color w:val="auto"/>
        </w:rPr>
      </w:pPr>
    </w:p>
    <w:p>
      <w:pPr>
        <w:ind w:right="200" w:firstLine="1091"/>
        <w:spacing w:after="0" w:line="261" w:lineRule="auto"/>
        <w:tabs>
          <w:tab w:leader="none" w:pos="1315"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Exchange Listing</w:t>
      </w:r>
      <w:r>
        <w:rPr>
          <w:rFonts w:ascii="Times New Roman" w:cs="Times New Roman" w:eastAsia="Times New Roman" w:hAnsi="Times New Roman"/>
          <w:sz w:val="15"/>
          <w:szCs w:val="15"/>
          <w:color w:val="auto"/>
        </w:rPr>
        <w:t>. The Company is subject to and in compliance in all material respects with the reporting requirements of Section 13 or Section 15(d) of the Exchange Act. The Common Stock is registered pursuant to Section 12(b) or 12(g) of the Exchange Act and is listed on The Nasdaq Capital Market (the “</w:t>
      </w:r>
      <w:r>
        <w:rPr>
          <w:rFonts w:ascii="Times New Roman" w:cs="Times New Roman" w:eastAsia="Times New Roman" w:hAnsi="Times New Roman"/>
          <w:sz w:val="15"/>
          <w:szCs w:val="15"/>
          <w:b w:val="1"/>
          <w:bCs w:val="1"/>
          <w:u w:val="single" w:color="auto"/>
          <w:color w:val="auto"/>
        </w:rPr>
        <w:t>Exchange</w:t>
      </w:r>
      <w:r>
        <w:rPr>
          <w:rFonts w:ascii="Times New Roman" w:cs="Times New Roman" w:eastAsia="Times New Roman" w:hAnsi="Times New Roman"/>
          <w:sz w:val="15"/>
          <w:szCs w:val="15"/>
          <w:color w:val="auto"/>
        </w:rPr>
        <w:t>”), and the Company has taken no action designed to, or likely to have the effect of, terminating the registration of the Common Stock under the Exchange Act or delisting the Common Stock from the Exchange nor has the Company received any notification that the Commission or the Exchange is contemplating terminating such registration or listing. To the Company’s knowledge, it has complied in all material respects with the applicable requirements of the Exchange for maintenance of inclusion of the Common Stock on the Exchange. The Company has filed a Notification of Listing of Additional Shares with the Exchange with respect to the Placement Shares.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68" w:name="page69"/>
    <w:bookmarkEnd w:id="68"/>
    <w:p>
      <w:pPr>
        <w:ind w:left="8" w:firstLine="1091"/>
        <w:spacing w:after="0" w:line="266" w:lineRule="auto"/>
        <w:tabs>
          <w:tab w:leader="none" w:pos="1289"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Sales Agreement</w:t>
      </w:r>
      <w:r>
        <w:rPr>
          <w:rFonts w:ascii="Times New Roman" w:cs="Times New Roman" w:eastAsia="Times New Roman" w:hAnsi="Times New Roman"/>
          <w:sz w:val="15"/>
          <w:szCs w:val="15"/>
          <w:color w:val="auto"/>
        </w:rPr>
        <w:t>. The Company has full legal right, power and authority to enter into this Agreement and perform the transactions contemplated hereby. This Agreement has been duly authorized, executed and delivered by the Company, and (assuming the due authorization, execution and delivery of this Agreement by the Agents)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w:t>
      </w:r>
    </w:p>
    <w:p>
      <w:pPr>
        <w:spacing w:after="0" w:line="151" w:lineRule="exact"/>
        <w:rPr>
          <w:rFonts w:ascii="Times New Roman" w:cs="Times New Roman" w:eastAsia="Times New Roman" w:hAnsi="Times New Roman"/>
          <w:sz w:val="15"/>
          <w:szCs w:val="15"/>
          <w:color w:val="auto"/>
        </w:rPr>
      </w:pPr>
    </w:p>
    <w:p>
      <w:pPr>
        <w:ind w:left="8" w:right="140" w:firstLine="1091"/>
        <w:spacing w:after="0" w:line="263" w:lineRule="auto"/>
        <w:tabs>
          <w:tab w:leader="none" w:pos="1366"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Preferential Rights</w:t>
      </w:r>
      <w:r>
        <w:rPr>
          <w:rFonts w:ascii="Times New Roman" w:cs="Times New Roman" w:eastAsia="Times New Roman" w:hAnsi="Times New Roman"/>
          <w:sz w:val="15"/>
          <w:szCs w:val="15"/>
          <w:color w:val="auto"/>
        </w:rPr>
        <w:t xml:space="preserve">. Except as described in the Registration Statement, the General Disclosure Package or the Prospectus, (i) there are no options, warrants, preemptive rights, rights of first refusal or other rights to subscribe for or to purchase any equity securities of the Company and (ii) except pursuant to existing arrangements disclosed on </w:t>
      </w:r>
      <w:r>
        <w:rPr>
          <w:rFonts w:ascii="Times New Roman" w:cs="Times New Roman" w:eastAsia="Times New Roman" w:hAnsi="Times New Roman"/>
          <w:sz w:val="15"/>
          <w:szCs w:val="15"/>
          <w:u w:val="single" w:color="auto"/>
          <w:color w:val="auto"/>
        </w:rPr>
        <w:t>Schedule 6(m)</w:t>
      </w:r>
      <w:r>
        <w:rPr>
          <w:rFonts w:ascii="Times New Roman" w:cs="Times New Roman" w:eastAsia="Times New Roman" w:hAnsi="Times New Roman"/>
          <w:sz w:val="15"/>
          <w:szCs w:val="15"/>
          <w:color w:val="auto"/>
        </w:rPr>
        <w:t>, no person, as such term is defined in Rule 1-02 of Regulation S-X promulgated under the Securities Act, has the right (x) to act as an underwriter or as a financial advisor to the Company in connection with the offer and sale of the Common Stock or (y) to cause the Company to issue or sell to such person any Common Stock or shares of any other capital stock or other securities of the Company.</w:t>
      </w:r>
    </w:p>
    <w:p>
      <w:pPr>
        <w:spacing w:after="0" w:line="153" w:lineRule="exact"/>
        <w:rPr>
          <w:rFonts w:ascii="Times New Roman" w:cs="Times New Roman" w:eastAsia="Times New Roman" w:hAnsi="Times New Roman"/>
          <w:sz w:val="15"/>
          <w:szCs w:val="15"/>
          <w:color w:val="auto"/>
        </w:rPr>
      </w:pPr>
    </w:p>
    <w:p>
      <w:pPr>
        <w:ind w:left="8" w:right="340" w:firstLine="1091"/>
        <w:spacing w:after="0" w:line="290" w:lineRule="auto"/>
        <w:tabs>
          <w:tab w:leader="none" w:pos="1323"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Descriptions and Exhibits</w:t>
      </w:r>
      <w:r>
        <w:rPr>
          <w:rFonts w:ascii="Times New Roman" w:cs="Times New Roman" w:eastAsia="Times New Roman" w:hAnsi="Times New Roman"/>
          <w:sz w:val="15"/>
          <w:szCs w:val="15"/>
          <w:color w:val="auto"/>
        </w:rPr>
        <w:t>. There are no statutes, regulations, documents or contracts of a character required to be described in the Registration Statement, the General Disclosure Package or the Prospectus or to be filed as an exhibit to the Registration Statement which are not described or filed as required.</w:t>
      </w:r>
    </w:p>
    <w:p>
      <w:pPr>
        <w:spacing w:after="0" w:line="132" w:lineRule="exact"/>
        <w:rPr>
          <w:rFonts w:ascii="Times New Roman" w:cs="Times New Roman" w:eastAsia="Times New Roman" w:hAnsi="Times New Roman"/>
          <w:sz w:val="15"/>
          <w:szCs w:val="15"/>
          <w:color w:val="auto"/>
        </w:rPr>
      </w:pPr>
    </w:p>
    <w:p>
      <w:pPr>
        <w:ind w:left="8" w:right="40" w:firstLine="1091"/>
        <w:spacing w:after="0" w:line="258" w:lineRule="auto"/>
        <w:tabs>
          <w:tab w:leader="none" w:pos="1323"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Non-Contravention</w:t>
      </w:r>
      <w:r>
        <w:rPr>
          <w:rFonts w:ascii="Times New Roman" w:cs="Times New Roman" w:eastAsia="Times New Roman" w:hAnsi="Times New Roman"/>
          <w:sz w:val="15"/>
          <w:szCs w:val="15"/>
          <w:color w:val="auto"/>
        </w:rPr>
        <w:t>. The issue and sale of the Placement Shares to be sold by the Company hereunder, the execution of this Agreement by the Company and the compliance by the Company with all of the provisions of this Agreement and the consummation of the transactions herein contemplated (i) will not conflict with or result in a breach or violation of any of the terms or provisions of, or constitute a default under, any indenture, mortgage, deed of trust, loan agreement or any other evidence of indebtedness or other agreement or instrument to which the Company or any Subsidiary is a party or by which the Company or any Subsidiary is bound or to which any of the property or assets of the Company or any Subsidiary are subject; (ii) will not result in any violation of the provisions of the certificate or articles of incorporation or by-laws (or other organization documents) of the Company or any Subsidiary; (iii) will not result in any violation of any statute or any order, decree, rule or regulation of any court or governmental or administrative agency or body having jurisdiction over the Company or any Subsidiary or any of its properties, and (iv) will not result in the creation or imposition of any lien, charge or encumbrance upon any property or assets of the Company or any Subsidiary pursuant to the terms of any contract or other agreement to which the Company or any Subsidiary may be bound or to which any of the property or assets of the Company or any Subsidiary is subject; except, in the case of clauses (i), (iii) and (iv) above, where such breaches, violations or defaults would not, individually or in the aggregate, have a Material Adverse Effect.</w:t>
      </w:r>
    </w:p>
    <w:p>
      <w:pPr>
        <w:spacing w:after="0" w:line="160" w:lineRule="exact"/>
        <w:rPr>
          <w:rFonts w:ascii="Times New Roman" w:cs="Times New Roman" w:eastAsia="Times New Roman" w:hAnsi="Times New Roman"/>
          <w:sz w:val="15"/>
          <w:szCs w:val="15"/>
          <w:color w:val="auto"/>
        </w:rPr>
      </w:pPr>
    </w:p>
    <w:p>
      <w:pPr>
        <w:ind w:left="8" w:right="40" w:firstLine="1091"/>
        <w:spacing w:after="0" w:line="258" w:lineRule="auto"/>
        <w:tabs>
          <w:tab w:leader="none" w:pos="1323" w:val="left"/>
        </w:tabs>
        <w:numPr>
          <w:ilvl w:val="1"/>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Violations</w:t>
      </w:r>
      <w:r>
        <w:rPr>
          <w:rFonts w:ascii="Times New Roman" w:cs="Times New Roman" w:eastAsia="Times New Roman" w:hAnsi="Times New Roman"/>
          <w:sz w:val="15"/>
          <w:szCs w:val="15"/>
          <w:color w:val="auto"/>
        </w:rPr>
        <w:t>. Neither the Company nor its Subsidiaries is (i) in violation of its articles or certificate of incorporation, by-laws (or other organizational or charter documents), (ii) in violation of any law, ordinance, administrative or governmental rule or regulation applicable to the Company or the Subsidiary, (iii) in violation of any decree of any court or governmental agency or body having jurisdiction over the Company or the Subsidiary, or (iv) in default, and no event has occurred that, with notice or lapse of time or both, would constitute such a default, in the performance of any obligation, agreement or condition contained in any bond, debenture, note or any other evidence of indebtedness or in any agreement, indenture, lease or other instrument to which the Company or a Subsidiary is a party or by which it or any of its properties may be bound, except, in the case of clauses (ii),</w:t>
      </w:r>
    </w:p>
    <w:p>
      <w:pPr>
        <w:spacing w:after="0" w:line="3" w:lineRule="exact"/>
        <w:rPr>
          <w:rFonts w:ascii="Times New Roman" w:cs="Times New Roman" w:eastAsia="Times New Roman" w:hAnsi="Times New Roman"/>
          <w:sz w:val="15"/>
          <w:szCs w:val="15"/>
          <w:color w:val="auto"/>
        </w:rPr>
      </w:pPr>
    </w:p>
    <w:p>
      <w:pPr>
        <w:ind w:left="8" w:right="80" w:hanging="8"/>
        <w:spacing w:after="0" w:line="258" w:lineRule="auto"/>
        <w:tabs>
          <w:tab w:leader="none" w:pos="275"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and (iv), where any such violation or default, individually or in the aggregate, would not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 To the Company’s knowledge, no other party under any material contract or other agreement to which it or any of its Subsidiaries is a party is in default in any respect thereunder where such default would have a Material Adverse Effect.</w:t>
      </w:r>
    </w:p>
    <w:p>
      <w:pPr>
        <w:spacing w:after="0" w:line="157" w:lineRule="exact"/>
        <w:rPr>
          <w:rFonts w:ascii="Times New Roman" w:cs="Times New Roman" w:eastAsia="Times New Roman" w:hAnsi="Times New Roman"/>
          <w:sz w:val="15"/>
          <w:szCs w:val="15"/>
          <w:color w:val="auto"/>
        </w:rPr>
      </w:pPr>
    </w:p>
    <w:p>
      <w:pPr>
        <w:ind w:left="8" w:firstLine="1091"/>
        <w:spacing w:after="0" w:line="290" w:lineRule="auto"/>
        <w:tabs>
          <w:tab w:leader="none" w:pos="1323"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Outstanding Loans or Other Extensions of Credit</w:t>
      </w:r>
      <w:r>
        <w:rPr>
          <w:rFonts w:ascii="Times New Roman" w:cs="Times New Roman" w:eastAsia="Times New Roman" w:hAnsi="Times New Roman"/>
          <w:sz w:val="15"/>
          <w:szCs w:val="15"/>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3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9" w:right="319" w:bottom="1440" w:gutter="0" w:footer="0" w:header="0"/>
        </w:sectPr>
      </w:pPr>
    </w:p>
    <w:bookmarkStart w:id="69" w:name="page70"/>
    <w:bookmarkEnd w:id="69"/>
    <w:p>
      <w:pPr>
        <w:ind w:right="440" w:firstLine="1091"/>
        <w:spacing w:after="0" w:line="290" w:lineRule="auto"/>
        <w:tabs>
          <w:tab w:leader="none" w:pos="1289"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Underwriting Agreements</w:t>
      </w:r>
      <w:r>
        <w:rPr>
          <w:rFonts w:ascii="Times New Roman" w:cs="Times New Roman" w:eastAsia="Times New Roman" w:hAnsi="Times New Roman"/>
          <w:sz w:val="15"/>
          <w:szCs w:val="15"/>
          <w:color w:val="auto"/>
        </w:rPr>
        <w:t>. Except for this Agreement, the Company is not a party to any agreement with an agent or underwriter for any other “at the market” or continuous equity transaction.</w:t>
      </w:r>
    </w:p>
    <w:p>
      <w:pPr>
        <w:spacing w:after="0" w:line="132" w:lineRule="exact"/>
        <w:rPr>
          <w:rFonts w:ascii="Times New Roman" w:cs="Times New Roman" w:eastAsia="Times New Roman" w:hAnsi="Times New Roman"/>
          <w:sz w:val="15"/>
          <w:szCs w:val="15"/>
          <w:color w:val="auto"/>
        </w:rPr>
      </w:pPr>
    </w:p>
    <w:p>
      <w:pPr>
        <w:ind w:right="20" w:firstLine="1091"/>
        <w:spacing w:after="0" w:line="266" w:lineRule="auto"/>
        <w:tabs>
          <w:tab w:leader="none" w:pos="1298"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Consents Required</w:t>
      </w:r>
      <w:r>
        <w:rPr>
          <w:rFonts w:ascii="Times New Roman" w:cs="Times New Roman" w:eastAsia="Times New Roman" w:hAnsi="Times New Roman"/>
          <w:sz w:val="15"/>
          <w:szCs w:val="15"/>
          <w:color w:val="auto"/>
        </w:rPr>
        <w:t>. No consent, approval, authorization, order, license, registration or qualification of or with any court or arbitrator or governmental or regulatory authority is required for the execution, delivery and performance by the Company of this Agreement, the issuance and sale of the Placement Shares and the consummation of the transactions contemplated by this Agreement, except for the registration of the Placement Shares under the Securities Act and such consents, approvals, authorizations, orders and registrations or qualifications as may be required under applicable state securities laws in connection with the purchase and distribution of the Placement Shares by the Agents.</w:t>
      </w:r>
    </w:p>
    <w:p>
      <w:pPr>
        <w:spacing w:after="0" w:line="151" w:lineRule="exact"/>
        <w:rPr>
          <w:rFonts w:ascii="Times New Roman" w:cs="Times New Roman" w:eastAsia="Times New Roman" w:hAnsi="Times New Roman"/>
          <w:sz w:val="15"/>
          <w:szCs w:val="15"/>
          <w:color w:val="auto"/>
        </w:rPr>
      </w:pPr>
    </w:p>
    <w:p>
      <w:pPr>
        <w:ind w:right="20" w:firstLine="1091"/>
        <w:spacing w:after="0" w:line="261" w:lineRule="auto"/>
        <w:tabs>
          <w:tab w:leader="none" w:pos="1281"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Legal Proceedings</w:t>
      </w:r>
      <w:r>
        <w:rPr>
          <w:rFonts w:ascii="Times New Roman" w:cs="Times New Roman" w:eastAsia="Times New Roman" w:hAnsi="Times New Roman"/>
          <w:sz w:val="15"/>
          <w:szCs w:val="15"/>
          <w:color w:val="auto"/>
        </w:rPr>
        <w:t>. Other than as set forth in the Registration Statement, the General Disclosure Package or the Prospectus, there are no actions, suits, proceedings, inquiries, audits, or investigations brought by or before any legal or governmental entity pending to which the Company is a party or of which any property of the Company or any Subsidiary is the subject which, if determined adversely to the Company or any Subsidiary, individually or in the aggregate, would have or may reasonably be expected to have a Material Adverse Effect, or would prevent or impair the consummation of the transactions contemplated by this Agreement, or which are required to be described in the Registration Statement, the General Disclosure Package or the Prospectus; and, to the best of the Company’s knowledge, no such actions, suits, proceedings, inquiries, audits or investigations are threatened or contemplated by governmental authorities or others.</w:t>
      </w:r>
    </w:p>
    <w:p>
      <w:pPr>
        <w:spacing w:after="0" w:line="152" w:lineRule="exact"/>
        <w:rPr>
          <w:rFonts w:ascii="Times New Roman" w:cs="Times New Roman" w:eastAsia="Times New Roman" w:hAnsi="Times New Roman"/>
          <w:sz w:val="15"/>
          <w:szCs w:val="15"/>
          <w:color w:val="auto"/>
        </w:rPr>
      </w:pPr>
    </w:p>
    <w:p>
      <w:pPr>
        <w:ind w:firstLine="1091"/>
        <w:spacing w:after="0" w:line="259" w:lineRule="auto"/>
        <w:tabs>
          <w:tab w:leader="none" w:pos="1315"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Independent Accountant.</w:t>
      </w:r>
      <w:r>
        <w:rPr>
          <w:rFonts w:ascii="Times New Roman" w:cs="Times New Roman" w:eastAsia="Times New Roman" w:hAnsi="Times New Roman"/>
          <w:sz w:val="15"/>
          <w:szCs w:val="15"/>
          <w:color w:val="auto"/>
        </w:rPr>
        <w:t xml:space="preserve"> (i) Each of PricewaterhouseCoopers LLP and dbbmckennon (the “</w:t>
      </w:r>
      <w:r>
        <w:rPr>
          <w:rFonts w:ascii="Times New Roman" w:cs="Times New Roman" w:eastAsia="Times New Roman" w:hAnsi="Times New Roman"/>
          <w:sz w:val="15"/>
          <w:szCs w:val="15"/>
          <w:b w:val="1"/>
          <w:bCs w:val="1"/>
          <w:u w:val="single" w:color="auto"/>
          <w:color w:val="auto"/>
        </w:rPr>
        <w:t>Company Auditors</w:t>
      </w:r>
      <w:r>
        <w:rPr>
          <w:rFonts w:ascii="Times New Roman" w:cs="Times New Roman" w:eastAsia="Times New Roman" w:hAnsi="Times New Roman"/>
          <w:sz w:val="15"/>
          <w:szCs w:val="15"/>
          <w:color w:val="auto"/>
        </w:rPr>
        <w:t>”), who have certified certain financial statements of the Company, was, at all applicable times, an independent registered public accounting firm with respect to the Company within the applicable rules and regulations adopted by the Commission and the Public Company Accounting Oversight Board and as required by the Securities Act and (ii) dbbmckennon in its capacity as the auditor certifying certain financial statements of Diligent Robotics, Inc. incorporated by reference into the Registration Statement, the General Disclosure Package and the Prospectus (in such capacity, the “</w:t>
      </w:r>
      <w:r>
        <w:rPr>
          <w:rFonts w:ascii="Times New Roman" w:cs="Times New Roman" w:eastAsia="Times New Roman" w:hAnsi="Times New Roman"/>
          <w:sz w:val="15"/>
          <w:szCs w:val="15"/>
          <w:b w:val="1"/>
          <w:bCs w:val="1"/>
          <w:u w:val="single" w:color="auto"/>
          <w:color w:val="auto"/>
        </w:rPr>
        <w:t>Diligent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u w:val="single" w:color="auto"/>
          <w:color w:val="auto"/>
        </w:rPr>
        <w:t>Auditor</w:t>
      </w:r>
      <w:r>
        <w:rPr>
          <w:rFonts w:ascii="Times New Roman" w:cs="Times New Roman" w:eastAsia="Times New Roman" w:hAnsi="Times New Roman"/>
          <w:sz w:val="15"/>
          <w:szCs w:val="15"/>
          <w:color w:val="auto"/>
        </w:rPr>
        <w:t>”), was, at all applicable times, an independent public accountant with respect to Diligent Robotics, Inc. as required by the Securities Act and the Exchange Act and was, at 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applicable times, an independent registered public accounting firm with the American Institute of Certified Public Accountants. To the Company’s knowledge, neither the Company Auditors nor the Diligent Auditor is in violation of the auditor independence requirements of the Sarbanes-Oxley Act of 2002 (the “</w:t>
      </w:r>
      <w:r>
        <w:rPr>
          <w:rFonts w:ascii="Times New Roman" w:cs="Times New Roman" w:eastAsia="Times New Roman" w:hAnsi="Times New Roman"/>
          <w:sz w:val="15"/>
          <w:szCs w:val="15"/>
          <w:b w:val="1"/>
          <w:bCs w:val="1"/>
          <w:u w:val="single" w:color="auto"/>
          <w:color w:val="auto"/>
        </w:rPr>
        <w:t>Sarbanes-Oxley Act</w:t>
      </w:r>
      <w:r>
        <w:rPr>
          <w:rFonts w:ascii="Times New Roman" w:cs="Times New Roman" w:eastAsia="Times New Roman" w:hAnsi="Times New Roman"/>
          <w:sz w:val="15"/>
          <w:szCs w:val="15"/>
          <w:color w:val="auto"/>
        </w:rPr>
        <w:t>”) with respect to the Company or, with respect to the Diligent Auditor, Diligent Robotics, Inc. The Company Auditors have not been engaged by the Company to perform any “prohibited activities” or provided to the Company any “non-audit services” (as defined in Section 10A of the Exchange Act) except as disclosed in the Registration Statement, the General Disclosure Package or the Prospectus.</w:t>
      </w:r>
    </w:p>
    <w:p>
      <w:pPr>
        <w:spacing w:after="0" w:line="343" w:lineRule="exact"/>
        <w:rPr>
          <w:rFonts w:ascii="Times New Roman" w:cs="Times New Roman" w:eastAsia="Times New Roman" w:hAnsi="Times New Roman"/>
          <w:sz w:val="15"/>
          <w:szCs w:val="15"/>
          <w:color w:val="auto"/>
        </w:rPr>
      </w:pPr>
    </w:p>
    <w:p>
      <w:pPr>
        <w:ind w:firstLine="1091"/>
        <w:spacing w:after="0" w:line="258" w:lineRule="auto"/>
        <w:tabs>
          <w:tab w:leader="none" w:pos="1315"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Title to Real and Personal Property</w:t>
      </w:r>
      <w:r>
        <w:rPr>
          <w:rFonts w:ascii="Times New Roman" w:cs="Times New Roman" w:eastAsia="Times New Roman" w:hAnsi="Times New Roman"/>
          <w:sz w:val="15"/>
          <w:szCs w:val="15"/>
          <w:color w:val="auto"/>
        </w:rPr>
        <w:t>. Except (a) as otherwise set forth in the Registration Statement, the General Disclosure Package or the Prospectus, (b) for liens, security interests and similar encumbrances under any liens, security interests or similar encumbrances made pursuant to credit facilities or indentures of the Company or (c) as would not have a Material Adverse Effect, individually or in the aggregate, the Company and its Subsidiaries have good and marketable title to all of the real and personal properties and assets reflected as owned in the financial statements referred to in Section 6(f) or elsewhere in the Registration Statement, the General Disclosure Package or the Prospectus, in each case free and clear of any security interests, mortgages, liens, pledges, charges, encumbrances, equities, adverse claims and other defects or restrictions. No real property owned, leased, licensed, or used by the Company or any Subsidiary lies in an area which is, or will be, subject to restrictions which would prohibit, and no statements of facts relating to the actions or inaction of another person or entity or his or its ownership, leasing, licensing, or use of any real or personal property exists or will exist which would prevent, the continued effective ownership, leasing, licensing, exploration, development or production or use of such real property in the business of the Company and its Subsidiaries as presently conducted or as the Registration Statement, the General Disclosure Package or the Prospectus indicates the Company and its Subsidiaries contemplate conducting, except as may be properly described in the Registration Statement, the General Disclosure Package or the Prospectus or such as in the aggregate do not now cause and will not in the future cause a Material Adverse Effect. The real property, improvements, equipment and personal property held under lease by the Company or of a Subsidiary are held under valid and enforceable leases, with such exceptions as would not, individually or in the aggregate, have a Material Adverse Effect.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0" w:name="page71"/>
    <w:bookmarkEnd w:id="70"/>
    <w:p>
      <w:pPr>
        <w:ind w:right="20" w:firstLine="1091"/>
        <w:spacing w:after="0" w:line="256" w:lineRule="auto"/>
        <w:tabs>
          <w:tab w:leader="none" w:pos="1349"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Title to Intellectual Property</w:t>
      </w:r>
      <w:r>
        <w:rPr>
          <w:rFonts w:ascii="Times New Roman" w:cs="Times New Roman" w:eastAsia="Times New Roman" w:hAnsi="Times New Roman"/>
          <w:sz w:val="15"/>
          <w:szCs w:val="15"/>
          <w:color w:val="auto"/>
        </w:rPr>
        <w:t>. Except as otherwise disclosed in the Registration Statement, the General Disclosure Package, or the Prospectus, the Company, including its Subsidiaries, own, or have obtained valid and enforceable licenses for, the inventions, patent applications, patents, trademarks, trade names, service names, copyrights, trade secrets and other intellectual property described in the Registration Statement, the General Disclosure Package, or the Prospectus as being owned or licensed by them or which are necessary for the conduct of the Company’s and its Subsidiaries’ businesses as currently conducted or as currently proposed to be conducted (collectively, “</w:t>
      </w:r>
      <w:r>
        <w:rPr>
          <w:rFonts w:ascii="Times New Roman" w:cs="Times New Roman" w:eastAsia="Times New Roman" w:hAnsi="Times New Roman"/>
          <w:sz w:val="15"/>
          <w:szCs w:val="15"/>
          <w:b w:val="1"/>
          <w:bCs w:val="1"/>
          <w:u w:val="single" w:color="auto"/>
          <w:color w:val="auto"/>
        </w:rPr>
        <w:t>Intellectual Property</w:t>
      </w:r>
      <w:r>
        <w:rPr>
          <w:rFonts w:ascii="Times New Roman" w:cs="Times New Roman" w:eastAsia="Times New Roman" w:hAnsi="Times New Roman"/>
          <w:sz w:val="15"/>
          <w:szCs w:val="15"/>
          <w:color w:val="auto"/>
        </w:rPr>
        <w:t>”), except as would not have a Material Adverse Effect on the Company and its Subsidiaries taken as a whole, and except as enforceability of any licenses may be limited by bankruptcy and other similar laws affecting the rights of creditors generally and general principles of equity. To the Company’s knowledge, the conduct of the Company’s and its Subsidiaries’ businesses does not and will not infringe, misappropriate or otherwise conflict in any material respect with any intellectual property rights of others, except as would not result in a Material Adverse Effect. To the Company’s knowledge: (i) there are no third parties who have rights to any registered Intellectual Property, other than any co-owner of any patent constituting Intellectual Property who is listed on the records of the U.S. Patent and Trademark Office and any co-owner of any patent application constituting Intellectual Property who is named in such patent application; and (ii) there is no infringement by third parties of any Intellectual Property. There is no pending or, to the Company’s knowledge, threatened action, suit, proceeding or claim by others: (A) challenging the Company’s or any Subsidiary’s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that would form a reasonable basis for any such action, suit, proceeding or claim; or (C) asserting that the Company or any of its Subsidiaries infringes or otherwise violates, or would, upon the expansion or commercialization of any product or service described in the Registration Statement, the General Disclosure Package, or the Prospectus as under development, infringe or violate, any patent, trademark, trade name, service name, copyright, trade secret or other proprietary rights of others, and the Company is unaware of any facts which would form a reasonable basis for any such action, suit, proceeding or claim. To the Company’s knowledge, the Company and its Subsidiaries have complied with the material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commercially reasonable steps to protect, maintain and safeguard their Intellectual Property, including the execution of nondisclosure and confidentiality agreements. The Intellectual Property and/or their uses described in the Registration Statement, the General Disclosure Package, or the Prospectus as under development by the Company or any Subsidiary fall within the scope of the claims of one or more patents owned by, or exclusively licensed to, the Company or any Subsidiary.</w:t>
      </w:r>
    </w:p>
    <w:p>
      <w:pPr>
        <w:spacing w:after="0" w:line="165" w:lineRule="exact"/>
        <w:rPr>
          <w:rFonts w:ascii="Times New Roman" w:cs="Times New Roman" w:eastAsia="Times New Roman" w:hAnsi="Times New Roman"/>
          <w:sz w:val="15"/>
          <w:szCs w:val="15"/>
          <w:color w:val="auto"/>
        </w:rPr>
      </w:pPr>
    </w:p>
    <w:p>
      <w:pPr>
        <w:ind w:right="80" w:firstLine="1091"/>
        <w:spacing w:after="0" w:line="263" w:lineRule="auto"/>
        <w:tabs>
          <w:tab w:leader="none" w:pos="1315"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Undisclosed Relationships</w:t>
      </w:r>
      <w:r>
        <w:rPr>
          <w:rFonts w:ascii="Times New Roman" w:cs="Times New Roman" w:eastAsia="Times New Roman" w:hAnsi="Times New Roman"/>
          <w:sz w:val="15"/>
          <w:szCs w:val="15"/>
          <w:color w:val="auto"/>
        </w:rPr>
        <w:t>. No relationship, direct or indirect, exists between or among the Company, any Subsidiary or any affiliate thereof, on the one hand, and the directors, officers, stockholders, customers or suppliers of the Company or any Subsidiary, on the other hand, that is required to be described, incorporated by reference or included in the Registration Statement, the General Disclosure Package or the Prospectus and which is not so described, incorporated or included. Except as described in the Registration Statement, General Disclosure Package and the Prospectus, there are no material outstanding loans, advances or material guarantees of indebtedness by the Company or any Subsidiary to or for the benefit of any of their respective officers or directors or any of the members of the families of any of them.</w:t>
      </w:r>
    </w:p>
    <w:p>
      <w:pPr>
        <w:spacing w:after="0" w:line="153" w:lineRule="exact"/>
        <w:rPr>
          <w:rFonts w:ascii="Times New Roman" w:cs="Times New Roman" w:eastAsia="Times New Roman" w:hAnsi="Times New Roman"/>
          <w:sz w:val="15"/>
          <w:szCs w:val="15"/>
          <w:color w:val="auto"/>
        </w:rPr>
      </w:pPr>
    </w:p>
    <w:p>
      <w:pPr>
        <w:ind w:right="40" w:firstLine="1091"/>
        <w:spacing w:after="0" w:line="263" w:lineRule="auto"/>
        <w:tabs>
          <w:tab w:leader="none" w:pos="1315"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Subsidiaries</w:t>
      </w:r>
      <w:r>
        <w:rPr>
          <w:rFonts w:ascii="Times New Roman" w:cs="Times New Roman" w:eastAsia="Times New Roman" w:hAnsi="Times New Roman"/>
          <w:sz w:val="15"/>
          <w:szCs w:val="15"/>
          <w:color w:val="auto"/>
        </w:rPr>
        <w:t>. All of the direct and indirect Subsidiaries of the Company are set forth in the reports filed with the Commission pursuant to Section 13(a), 13(e), 14 or 15(d) of the Exchange Act and all are set forth on Exhibit 21.1 to the Company’s most recent annual report on Form 10-K.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w:t>
      </w:r>
      <w:r>
        <w:rPr>
          <w:rFonts w:ascii="Times New Roman" w:cs="Times New Roman" w:eastAsia="Times New Roman" w:hAnsi="Times New Roman"/>
          <w:sz w:val="15"/>
          <w:szCs w:val="15"/>
          <w:b w:val="1"/>
          <w:bCs w:val="1"/>
          <w:u w:val="single" w:color="auto"/>
          <w:color w:val="auto"/>
        </w:rPr>
        <w:t>Subsidiary</w:t>
      </w:r>
      <w:r>
        <w:rPr>
          <w:rFonts w:ascii="Times New Roman" w:cs="Times New Roman" w:eastAsia="Times New Roman" w:hAnsi="Times New Roman"/>
          <w:sz w:val="15"/>
          <w:szCs w:val="15"/>
          <w:color w:val="auto"/>
        </w:rPr>
        <w:t>” means any subsidiary of Serve Robotics Inc. and shall, where applicable, also include any direct or indirect subsidiary of Serve Robotics Inc. formed or acquired after the date hereof.</w:t>
      </w:r>
    </w:p>
    <w:p>
      <w:pPr>
        <w:spacing w:after="0" w:line="153" w:lineRule="exact"/>
        <w:rPr>
          <w:rFonts w:ascii="Times New Roman" w:cs="Times New Roman" w:eastAsia="Times New Roman" w:hAnsi="Times New Roman"/>
          <w:sz w:val="15"/>
          <w:szCs w:val="15"/>
          <w:color w:val="auto"/>
        </w:rPr>
      </w:pPr>
    </w:p>
    <w:p>
      <w:pPr>
        <w:ind w:firstLine="1091"/>
        <w:spacing w:after="0" w:line="266" w:lineRule="auto"/>
        <w:tabs>
          <w:tab w:leader="none" w:pos="1306"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Dividend Restrictions</w:t>
      </w:r>
      <w:r>
        <w:rPr>
          <w:rFonts w:ascii="Times New Roman" w:cs="Times New Roman" w:eastAsia="Times New Roman" w:hAnsi="Times New Roman"/>
          <w:sz w:val="15"/>
          <w:szCs w:val="15"/>
          <w:color w:val="auto"/>
        </w:rPr>
        <w:t>. Except as disclosed in the Registration Statement, General Disclosure Package, or Prospectus, and subject to the existence of legally available funds, no Subsidiary of the Company is currently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1" w:name="page72"/>
    <w:bookmarkEnd w:id="71"/>
    <w:p>
      <w:pPr>
        <w:ind w:right="420" w:firstLine="1091"/>
        <w:spacing w:after="0" w:line="272" w:lineRule="auto"/>
        <w:tabs>
          <w:tab w:leader="none" w:pos="1374"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Company Act</w:t>
      </w:r>
      <w:r>
        <w:rPr>
          <w:rFonts w:ascii="Times New Roman" w:cs="Times New Roman" w:eastAsia="Times New Roman" w:hAnsi="Times New Roman"/>
          <w:sz w:val="15"/>
          <w:szCs w:val="15"/>
          <w:color w:val="auto"/>
        </w:rPr>
        <w:t>. Neither the Company nor any of the Subsidiaries is or, after giving effect to the offering and sale of the Placement Shares as contemplated herein and the application of the Net Proceeds (as defined below) therefrom as described in the General Disclosure Package and the Prospectus, will be, required to register as an “investment company”, as such term is defined in the Investment Company Act of 1940, as amended (the “</w:t>
      </w:r>
      <w:r>
        <w:rPr>
          <w:rFonts w:ascii="Times New Roman" w:cs="Times New Roman" w:eastAsia="Times New Roman" w:hAnsi="Times New Roman"/>
          <w:sz w:val="15"/>
          <w:szCs w:val="15"/>
          <w:b w:val="1"/>
          <w:bCs w:val="1"/>
          <w:u w:val="single" w:color="auto"/>
          <w:color w:val="auto"/>
        </w:rPr>
        <w:t>Investment Company Act</w:t>
      </w:r>
      <w:r>
        <w:rPr>
          <w:rFonts w:ascii="Times New Roman" w:cs="Times New Roman" w:eastAsia="Times New Roman" w:hAnsi="Times New Roman"/>
          <w:sz w:val="15"/>
          <w:szCs w:val="15"/>
          <w:color w:val="auto"/>
        </w:rPr>
        <w:t>”).</w:t>
      </w:r>
    </w:p>
    <w:p>
      <w:pPr>
        <w:spacing w:after="0" w:line="146" w:lineRule="exact"/>
        <w:rPr>
          <w:rFonts w:ascii="Times New Roman" w:cs="Times New Roman" w:eastAsia="Times New Roman" w:hAnsi="Times New Roman"/>
          <w:sz w:val="15"/>
          <w:szCs w:val="15"/>
          <w:color w:val="auto"/>
        </w:rPr>
      </w:pPr>
    </w:p>
    <w:p>
      <w:pPr>
        <w:ind w:right="20" w:firstLine="1091"/>
        <w:spacing w:after="0" w:line="260" w:lineRule="auto"/>
        <w:tabs>
          <w:tab w:leader="none" w:pos="1391"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 All United States federal income tax returns of the Company and its Subsidiaries required by law to be filed have been filed and all taxes shown by such returns or otherwise assessed, which are due and payable, have been paid, except for such taxes, if any, as are being or will be contested in good faith and as to which adequate reserves have been provided. The Company and each of its Subsidiaries has filed all other tax returns that are required to have been filed by it pursuant to applicable foreign, state, local or other law, except insofar as the failure to file such returns, individually or in the aggregate, would not result in a Material Adverse Effect; and the Company and each of its Subsidiaries has paid all taxes due pursuant to such returns or pursuant to any assessment received by the Company or any of its Subsidiaries except for such taxes, if any, as are being or will be contested in good faith and as to which adequate reserves have been provided or insofar as the non-payment of such taxes, individually or in the aggregate, would not result in a Material Adverse Effect.</w:t>
      </w:r>
    </w:p>
    <w:p>
      <w:pPr>
        <w:spacing w:after="0" w:line="153" w:lineRule="exact"/>
        <w:rPr>
          <w:rFonts w:ascii="Times New Roman" w:cs="Times New Roman" w:eastAsia="Times New Roman" w:hAnsi="Times New Roman"/>
          <w:sz w:val="15"/>
          <w:szCs w:val="15"/>
          <w:color w:val="auto"/>
        </w:rPr>
      </w:pPr>
    </w:p>
    <w:p>
      <w:pPr>
        <w:ind w:right="60" w:firstLine="1091"/>
        <w:spacing w:after="0" w:line="265" w:lineRule="auto"/>
        <w:tabs>
          <w:tab w:leader="none" w:pos="1374"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Licenses and Permits</w:t>
      </w:r>
      <w:r>
        <w:rPr>
          <w:rFonts w:ascii="Times New Roman" w:cs="Times New Roman" w:eastAsia="Times New Roman" w:hAnsi="Times New Roman"/>
          <w:sz w:val="15"/>
          <w:szCs w:val="15"/>
          <w:color w:val="auto"/>
        </w:rPr>
        <w:t>. The Company and its Subsidiaries possess all permits, licenses, approvals, consents and other authorizations (collectively, “</w:t>
      </w:r>
      <w:r>
        <w:rPr>
          <w:rFonts w:ascii="Times New Roman" w:cs="Times New Roman" w:eastAsia="Times New Roman" w:hAnsi="Times New Roman"/>
          <w:sz w:val="15"/>
          <w:szCs w:val="15"/>
          <w:b w:val="1"/>
          <w:bCs w:val="1"/>
          <w:u w:val="single" w:color="auto"/>
          <w:color w:val="auto"/>
        </w:rPr>
        <w:t>Permits</w:t>
      </w:r>
      <w:r>
        <w:rPr>
          <w:rFonts w:ascii="Times New Roman" w:cs="Times New Roman" w:eastAsia="Times New Roman" w:hAnsi="Times New Roman"/>
          <w:sz w:val="15"/>
          <w:szCs w:val="15"/>
          <w:color w:val="auto"/>
        </w:rPr>
        <w:t>”) issued by the appropriate federal, state, local or foreign regulatory agencies or bodies necessary to conduct the businesses now operated by it; the Company and its Subsidiaries is in compliance with the terms and conditions of all such Permits and all of the Permits are valid and in full force and effect, except, in each case, where the failure so to possess or comply with or where the invalidity of such Permits or the failure of such Permits to be in full force and effect, individually or in the aggregate, would not have a Material Adverse Effect; and neither the Company nor any Subsidiary has received any notice of proceedings relating to the revocation or material modification of any such Permits.</w:t>
      </w:r>
    </w:p>
    <w:p>
      <w:pPr>
        <w:spacing w:after="0" w:line="150" w:lineRule="exact"/>
        <w:rPr>
          <w:rFonts w:ascii="Times New Roman" w:cs="Times New Roman" w:eastAsia="Times New Roman" w:hAnsi="Times New Roman"/>
          <w:sz w:val="15"/>
          <w:szCs w:val="15"/>
          <w:color w:val="auto"/>
        </w:rPr>
      </w:pPr>
    </w:p>
    <w:p>
      <w:pPr>
        <w:jc w:val="both"/>
        <w:ind w:firstLine="1091"/>
        <w:spacing w:after="0" w:line="272" w:lineRule="auto"/>
        <w:tabs>
          <w:tab w:leader="none" w:pos="1391"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Labor Disputes</w:t>
      </w:r>
      <w:r>
        <w:rPr>
          <w:rFonts w:ascii="Times New Roman" w:cs="Times New Roman" w:eastAsia="Times New Roman" w:hAnsi="Times New Roman"/>
          <w:sz w:val="15"/>
          <w:szCs w:val="15"/>
          <w:color w:val="auto"/>
        </w:rPr>
        <w:t>. No material labor dispute with the employees of the Company or its Subsidiaries exists, or, to the knowledge of the Company, is imminent or threatened. The Company is not aware of any existing or imminent labor disturbance by the employees of any of its or its Subsidiaries’ principal suppliers, manufacturers, customers or contractors, which, individually or in the aggregate, may reasonably be expected to result in a Material Adverse Effect.</w:t>
      </w:r>
    </w:p>
    <w:p>
      <w:pPr>
        <w:spacing w:after="0" w:line="146" w:lineRule="exact"/>
        <w:rPr>
          <w:rFonts w:ascii="Times New Roman" w:cs="Times New Roman" w:eastAsia="Times New Roman" w:hAnsi="Times New Roman"/>
          <w:sz w:val="15"/>
          <w:szCs w:val="15"/>
          <w:color w:val="auto"/>
        </w:rPr>
      </w:pPr>
    </w:p>
    <w:p>
      <w:pPr>
        <w:ind w:firstLine="1091"/>
        <w:spacing w:after="0" w:line="257" w:lineRule="auto"/>
        <w:tabs>
          <w:tab w:leader="none" w:pos="1374"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and Liability under Environmental Laws</w:t>
      </w:r>
      <w:r>
        <w:rPr>
          <w:rFonts w:ascii="Times New Roman" w:cs="Times New Roman" w:eastAsia="Times New Roman" w:hAnsi="Times New Roman"/>
          <w:sz w:val="15"/>
          <w:szCs w:val="15"/>
          <w:color w:val="auto"/>
        </w:rPr>
        <w:t>. Except as described in the Registration Statement, the General Disclosure Package or the Prospectus, there has been no storage, disposal, generation, manufacture, refinement, transportation, handling or treatment of hazardous substances or hazardous wastes by the Company or its Subsidiaries (or, to the knowledge of the Company, any of its predecessors in interest), at, upon or from any of the property now or previously owned, leased or operated by the Company or its Subsidiaries in violation of any applicable law, ordinance, rule, regulation, order, judgment, decree or permit that would require the Company or any of its Subsidiaries to undertake any remedial action under any applicable law, ordinance, rule, regulation, order, judgment, decree or permit, except for any violation or remedial action that would not, individually or in the aggregate with all such violations and remedial actions, cause a Material Adverse Effect. Except for abandonment and similar costs incurred or to be incurred in the ordinary course of business of the Company and its Subsidiaries, there has been no material spill, discharge, leak, emission, injection, escape, dumping or release of any kind onto any property now or previously owned, leased or operated by the Company or its Subsidiaries or into the environment surrounding such property of any hazardous substances or hazardous wastes due to or caused by the Company or its Subsidiaries (or, to the knowledge of the Company, any of its predecessors in interest), except for any such spill, discharge, leak, emission, injection, escape, dumping or release that would not, singularly or in the aggregate with all such spills, discharges, leaks, emissions, injections, escapes, dumpings and releases, result in a Material Adverse Effect; and the terms “</w:t>
      </w:r>
      <w:r>
        <w:rPr>
          <w:rFonts w:ascii="Times New Roman" w:cs="Times New Roman" w:eastAsia="Times New Roman" w:hAnsi="Times New Roman"/>
          <w:sz w:val="15"/>
          <w:szCs w:val="15"/>
          <w:b w:val="1"/>
          <w:bCs w:val="1"/>
          <w:u w:val="single" w:color="auto"/>
          <w:color w:val="auto"/>
        </w:rPr>
        <w:t>hazardous substances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u w:val="single" w:color="auto"/>
          <w:color w:val="auto"/>
        </w:rPr>
        <w:t>hazardous wastes</w:t>
      </w:r>
      <w:r>
        <w:rPr>
          <w:rFonts w:ascii="Times New Roman" w:cs="Times New Roman" w:eastAsia="Times New Roman" w:hAnsi="Times New Roman"/>
          <w:sz w:val="15"/>
          <w:szCs w:val="15"/>
          <w:color w:val="auto"/>
        </w:rPr>
        <w:t>” shall be construed broadly to include such terms and similar terms, all of which shall have the meanings specified in any applicable local, state and federal laws or regulations with respect to environmental protection. Except as set forth in the Registration Statement, the General Disclosure Package or the Prospectus, neither the Company nor any of its Subsidiaries has been named as a “potentially responsible party” under the Comprehensive Environmental Response, Compensation, and Liability Act of 1980, as amended. Except as described in the Registration Statement, the General Disclosure Package or the Prospectus, the Company and its Subsidiaries have received and are in compliance with all permits, licenses or other approvals required of them under applicable environmental laws to conduct their respective businesses as described in the Registration Statement, General Disclosure Package and Prospectus.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72" w:name="page73"/>
    <w:bookmarkEnd w:id="72"/>
    <w:p>
      <w:pPr>
        <w:ind w:right="60" w:firstLine="1091"/>
        <w:spacing w:after="0" w:line="258" w:lineRule="auto"/>
        <w:tabs>
          <w:tab w:leader="none" w:pos="1338"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ERISA</w:t>
      </w:r>
      <w:r>
        <w:rPr>
          <w:rFonts w:ascii="Times New Roman" w:cs="Times New Roman" w:eastAsia="Times New Roman" w:hAnsi="Times New Roman"/>
          <w:sz w:val="15"/>
          <w:szCs w:val="15"/>
          <w:color w:val="auto"/>
        </w:rPr>
        <w:t>. Each employee benefit plan, within the meaning of Section 3(3) of the Employee Retirement Income Security Act of 1974, as amended (“</w:t>
      </w:r>
      <w:r>
        <w:rPr>
          <w:rFonts w:ascii="Times New Roman" w:cs="Times New Roman" w:eastAsia="Times New Roman" w:hAnsi="Times New Roman"/>
          <w:sz w:val="15"/>
          <w:szCs w:val="15"/>
          <w:b w:val="1"/>
          <w:bCs w:val="1"/>
          <w:u w:val="single" w:color="auto"/>
          <w:color w:val="auto"/>
        </w:rPr>
        <w:t>ERISA</w:t>
      </w:r>
      <w:r>
        <w:rPr>
          <w:rFonts w:ascii="Times New Roman" w:cs="Times New Roman" w:eastAsia="Times New Roman" w:hAnsi="Times New Roman"/>
          <w:sz w:val="15"/>
          <w:szCs w:val="15"/>
          <w:color w:val="auto"/>
        </w:rPr>
        <w:t>”), (whether or not subject to ERISA) that is sponsored, maintained, administered, contributed or required to be contributed to by the Company or any entity that would be treated as a single employer with any of the foregoing pursuant to Section 414 of the Internal Revenue Code of 1986, as amended (the “</w:t>
      </w:r>
      <w:r>
        <w:rPr>
          <w:rFonts w:ascii="Times New Roman" w:cs="Times New Roman" w:eastAsia="Times New Roman" w:hAnsi="Times New Roman"/>
          <w:sz w:val="15"/>
          <w:szCs w:val="15"/>
          <w:b w:val="1"/>
          <w:bCs w:val="1"/>
          <w:u w:val="single" w:color="auto"/>
          <w:color w:val="auto"/>
        </w:rPr>
        <w:t>Code</w:t>
      </w:r>
      <w:r>
        <w:rPr>
          <w:rFonts w:ascii="Times New Roman" w:cs="Times New Roman" w:eastAsia="Times New Roman" w:hAnsi="Times New Roman"/>
          <w:sz w:val="15"/>
          <w:szCs w:val="15"/>
          <w:color w:val="auto"/>
        </w:rPr>
        <w:t>”) (each such plan, a “</w:t>
      </w:r>
      <w:r>
        <w:rPr>
          <w:rFonts w:ascii="Times New Roman" w:cs="Times New Roman" w:eastAsia="Times New Roman" w:hAnsi="Times New Roman"/>
          <w:sz w:val="15"/>
          <w:szCs w:val="15"/>
          <w:b w:val="1"/>
          <w:bCs w:val="1"/>
          <w:u w:val="single" w:color="auto"/>
          <w:color w:val="auto"/>
        </w:rPr>
        <w:t>Plan</w:t>
      </w:r>
      <w:r>
        <w:rPr>
          <w:rFonts w:ascii="Times New Roman" w:cs="Times New Roman" w:eastAsia="Times New Roman" w:hAnsi="Times New Roman"/>
          <w:sz w:val="15"/>
          <w:szCs w:val="15"/>
          <w:color w:val="auto"/>
        </w:rPr>
        <w:t>”) has been maintained, administered and operated in compliance with its terms and the requirements of any applicable statutes, orders, rules and regulations, including but not limited to ERISA and the Code, except to the extent that failure to so comply, individually or in the aggregate, would not have a Material Adverse Effect. The fair market value of the assets of each Plan (excluding for these purposes accrued but unpaid contributions) exceeds the present value of all benefits accrued under such Plan determined using reasonable actuarial assumptions. No other event set forth in Section 4043(b) of ERISA (excluding events with respect to which the 30-day notice requirement under Section 4043 of ERISA has been waived) has occurred with respect to any Plan. No prohibited transaction, within the meaning of Section 406 of ERISA or Section 4975 of the Code, has occurred with respect to any Plan, excluding transactions effected pursuant to a statutory or administrative exemption that has resulted in or could reasonably be expected to have a Material Adverse Effect. The Company could not reasonably be expected to have any liability (whether actual, contingent or otherwise) (i) with respect to any Plan subject to Section 412 of the Code or to Title IV of ERISA or (ii) with respect to any Plan or other contract, agreement, arrangement or policy that provides for retiree or post-employment welfare benefits other than as required by Section 4980B of the Code or similar state laws.</w:t>
      </w:r>
    </w:p>
    <w:p>
      <w:pPr>
        <w:spacing w:after="0" w:line="156" w:lineRule="exact"/>
        <w:rPr>
          <w:rFonts w:ascii="Times New Roman" w:cs="Times New Roman" w:eastAsia="Times New Roman" w:hAnsi="Times New Roman"/>
          <w:sz w:val="15"/>
          <w:szCs w:val="15"/>
          <w:color w:val="auto"/>
        </w:rPr>
      </w:pPr>
    </w:p>
    <w:p>
      <w:pPr>
        <w:ind w:right="60" w:firstLine="1091"/>
        <w:spacing w:after="0" w:line="259" w:lineRule="auto"/>
        <w:tabs>
          <w:tab w:leader="none" w:pos="1391"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Disclosure Controls</w:t>
      </w:r>
      <w:r>
        <w:rPr>
          <w:rFonts w:ascii="Times New Roman" w:cs="Times New Roman" w:eastAsia="Times New Roman" w:hAnsi="Times New Roman"/>
          <w:sz w:val="15"/>
          <w:szCs w:val="15"/>
          <w:color w:val="auto"/>
        </w:rPr>
        <w:t>. The Company has established and maintains disclosure controls and procedures (as defined in Rules 13a-15(e) and 15d-15(e) under the Exchange Act) which (i) are designed to ensure that material information relating to the Company is made known to the Company’s principal executive officer and its principal financial officer by others within the Company, particularly during the periods in which the periodic reports required under the Exchange Act are being prepared; (ii) have been evaluated for effectiveness as of a date within 90 days prior to the earlier of the date that the Company filed its most recent annual or quarterly report with the Commission and the date of the General Disclosure Package; and (iii) are designed to be effective in all material respects to perform the functions for which they were established. Except as described in the Registration Statement, the General Disclosure Package or the Prospectus, since the date of the latest audited financial statements included in or incorporated by reference into the Registration Statement, the General Disclosure Package or the Prospectus, the Company has not been advised of any (i) significant deficiencies or material weaknesses in the design or operation of its disclosure controls and procedures or (ii) any fraud, whether or not material, that involves management or other employees who have a significant role in the Company’s disclosure controls and procedures.</w:t>
      </w:r>
    </w:p>
    <w:p>
      <w:pPr>
        <w:spacing w:after="0" w:line="156" w:lineRule="exact"/>
        <w:rPr>
          <w:rFonts w:ascii="Times New Roman" w:cs="Times New Roman" w:eastAsia="Times New Roman" w:hAnsi="Times New Roman"/>
          <w:sz w:val="15"/>
          <w:szCs w:val="15"/>
          <w:color w:val="auto"/>
        </w:rPr>
      </w:pPr>
    </w:p>
    <w:p>
      <w:pPr>
        <w:ind w:firstLine="1091"/>
        <w:spacing w:after="0" w:line="257" w:lineRule="auto"/>
        <w:tabs>
          <w:tab w:leader="none" w:pos="1391"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Internal Controls Over Financial Reporting</w:t>
      </w:r>
      <w:r>
        <w:rPr>
          <w:rFonts w:ascii="Times New Roman" w:cs="Times New Roman" w:eastAsia="Times New Roman" w:hAnsi="Times New Roman"/>
          <w:sz w:val="15"/>
          <w:szCs w:val="15"/>
          <w:color w:val="auto"/>
        </w:rPr>
        <w:t>. Except as otherwise disclosed in the Registration Statement, the General Disclosure Package, or the Prospectus, the Company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as applied in the United States and to maintain asset accountability; (iii) access to assets is permitted only in accordance with management’s general or specific authorizations;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General Disclosure Package or the Prospectus fairly presents the information called for in all material respects and has been prepared in all material respects in accordance with the Commission’s rules and guidelines applicable thereto. The Company’s system of “internal control over financial reporting” (as defined in Rule 13a-15(f) of the Exchange Act) complies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Except as described in the Registration Statement, the General Disclosure Package or the Prospectus, since the date of the latest audited financial statements included in or incorporated by reference into the Registration Statement, the General Disclosure Package or the Prospectus, (a) the Company has not been advised nor is the Company aware of (1) any significant deficiencies or material weaknesses in the design or operation of internal controls over financial reporting that are reasonably likely to materially affect the ability of the Company to record, process, summarize and report financial information or data, or any material weaknesses in internal controls over financial reporting and (2) any fraud, whether or not material, that involves management or other employees who have a significant role in the internal controls over financial reporting of the Company, and (b) since that date, there has been no change in the Company’s internal controls over financial reporting that has materially affected, or is reasonably likely to materially affect, the Company’s internal controls over financial reporting.</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3" w:name="page74"/>
    <w:bookmarkEnd w:id="73"/>
    <w:p>
      <w:pPr>
        <w:ind w:right="200" w:firstLine="1091"/>
        <w:spacing w:after="0" w:line="260" w:lineRule="auto"/>
        <w:tabs>
          <w:tab w:leader="none" w:pos="1323"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Open Source Software</w:t>
      </w:r>
      <w:r>
        <w:rPr>
          <w:rFonts w:ascii="Times New Roman" w:cs="Times New Roman" w:eastAsia="Times New Roman" w:hAnsi="Times New Roman"/>
          <w:sz w:val="15"/>
          <w:szCs w:val="15"/>
          <w:color w:val="auto"/>
        </w:rPr>
        <w:t>. (i) To the best of the Company’s knowledge, the Company and each of its Subsidiaries uses and has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5"/>
          <w:szCs w:val="15"/>
          <w:b w:val="1"/>
          <w:bCs w:val="1"/>
          <w:u w:val="single" w:color="auto"/>
          <w:color w:val="auto"/>
        </w:rPr>
        <w:t>Open Source Software</w:t>
      </w:r>
      <w:r>
        <w:rPr>
          <w:rFonts w:ascii="Times New Roman" w:cs="Times New Roman" w:eastAsia="Times New Roman" w:hAnsi="Times New Roman"/>
          <w:sz w:val="15"/>
          <w:szCs w:val="15"/>
          <w:color w:val="auto"/>
        </w:rPr>
        <w:t>”) in compliance with all license terms applicable to such Open Source Software; and (ii) the Company and each of its Subsidiaries has not used or distributed and does not use or distribute any Open Source Software in any manner that requires or has required (A) the Company or any of its Subsidiaries to permit reverse engineering of any software code or other technology owned by the Company or any of its Subsidiaries or (B) any software code or other technology, including AI model weights, owned by the Company or any of its Subsidiaries to be (1) disclosed or distributed in source code form, (2) licensed for the purpose of making derivative works or (3) redistributed at no charge.</w:t>
      </w:r>
    </w:p>
    <w:p>
      <w:pPr>
        <w:spacing w:after="0" w:line="157" w:lineRule="exact"/>
        <w:rPr>
          <w:rFonts w:ascii="Times New Roman" w:cs="Times New Roman" w:eastAsia="Times New Roman" w:hAnsi="Times New Roman"/>
          <w:sz w:val="15"/>
          <w:szCs w:val="15"/>
          <w:color w:val="auto"/>
        </w:rPr>
      </w:pPr>
    </w:p>
    <w:p>
      <w:pPr>
        <w:ind w:firstLine="1091"/>
        <w:spacing w:after="0" w:line="260" w:lineRule="auto"/>
        <w:tabs>
          <w:tab w:leader="none" w:pos="1323"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Data Security</w:t>
      </w:r>
      <w:r>
        <w:rPr>
          <w:rFonts w:ascii="Times New Roman" w:cs="Times New Roman" w:eastAsia="Times New Roman" w:hAnsi="Times New Roman"/>
          <w:sz w:val="15"/>
          <w:szCs w:val="15"/>
          <w:color w:val="auto"/>
        </w:rPr>
        <w:t>. (i) To the best of the Company’s knowledge, the Company and each of its Subsidiaries has complied and is presently in compliance with all internal and external privacy policies, contractual obligations, applicable laws, statutes, judgments, orders, rules and regulations of any court or arbitrator or other governmental or regulatory authority and any other legal obligations, in each case, relating to the processing, collection, use, transfer, import, export, storage, protection, disposal and disclosure by the Company or any of its Subsidiaries of Personal Data, personally identifiable, household, sensitive, confidential or regulated data (“</w:t>
      </w:r>
      <w:r>
        <w:rPr>
          <w:rFonts w:ascii="Times New Roman" w:cs="Times New Roman" w:eastAsia="Times New Roman" w:hAnsi="Times New Roman"/>
          <w:sz w:val="15"/>
          <w:szCs w:val="15"/>
          <w:b w:val="1"/>
          <w:bCs w:val="1"/>
          <w:u w:val="single" w:color="auto"/>
          <w:color w:val="auto"/>
        </w:rPr>
        <w:t>Data Security Obligations</w:t>
      </w:r>
      <w:r>
        <w:rPr>
          <w:rFonts w:ascii="Times New Roman" w:cs="Times New Roman" w:eastAsia="Times New Roman" w:hAnsi="Times New Roman"/>
          <w:sz w:val="15"/>
          <w:szCs w:val="15"/>
          <w:color w:val="auto"/>
        </w:rPr>
        <w:t>”, and such data, “</w:t>
      </w:r>
      <w:r>
        <w:rPr>
          <w:rFonts w:ascii="Times New Roman" w:cs="Times New Roman" w:eastAsia="Times New Roman" w:hAnsi="Times New Roman"/>
          <w:sz w:val="15"/>
          <w:szCs w:val="15"/>
          <w:b w:val="1"/>
          <w:bCs w:val="1"/>
          <w:u w:val="single" w:color="auto"/>
          <w:color w:val="auto"/>
        </w:rPr>
        <w:t>Data</w:t>
      </w:r>
      <w:r>
        <w:rPr>
          <w:rFonts w:ascii="Times New Roman" w:cs="Times New Roman" w:eastAsia="Times New Roman" w:hAnsi="Times New Roman"/>
          <w:sz w:val="15"/>
          <w:szCs w:val="15"/>
          <w:color w:val="auto"/>
        </w:rPr>
        <w:t>”); (ii) the Company and each of its Subsidiaries has not received any notification of or complaint regarding and is unaware of any other facts that, individually or in the aggregate, would reasonably indicate non-compliance with any Data Security Obligation; and (iii) there is no action, suit or proceeding by or before any court or governmental agency, authority or body pending or threatened alleging non-compliance with any Data Security Obligation nor are there any incidents under internal review or investigations relating to the same.</w:t>
      </w:r>
    </w:p>
    <w:p>
      <w:pPr>
        <w:spacing w:after="0" w:line="157" w:lineRule="exact"/>
        <w:rPr>
          <w:rFonts w:ascii="Times New Roman" w:cs="Times New Roman" w:eastAsia="Times New Roman" w:hAnsi="Times New Roman"/>
          <w:sz w:val="15"/>
          <w:szCs w:val="15"/>
          <w:color w:val="auto"/>
        </w:rPr>
      </w:pPr>
    </w:p>
    <w:p>
      <w:pPr>
        <w:ind w:right="40" w:firstLine="1091"/>
        <w:spacing w:after="0" w:line="258" w:lineRule="auto"/>
        <w:tabs>
          <w:tab w:leader="none" w:pos="1391"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Data Protection; No Breaches</w:t>
      </w:r>
      <w:r>
        <w:rPr>
          <w:rFonts w:ascii="Times New Roman" w:cs="Times New Roman" w:eastAsia="Times New Roman" w:hAnsi="Times New Roman"/>
          <w:sz w:val="15"/>
          <w:szCs w:val="15"/>
          <w:color w:val="auto"/>
        </w:rPr>
        <w:t>. To the best of the Company’s knowledge, the information technology assets and equipment, computers, systems, networks, hardware, software, websites, applications, and databases of the Company and each of its Subsidiaries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each of its Subsidiaries has taken commercially reasonable efforts to protect the information technology systems and Data used in connection with the operation of the business of the Company and its Subsidiaries. Without limiting the foregoing, the Company and each of its Subsidiaries has used reasonable efforts to establish and maintain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business of the Company and its Subsidiaries (“</w:t>
      </w:r>
      <w:r>
        <w:rPr>
          <w:rFonts w:ascii="Times New Roman" w:cs="Times New Roman" w:eastAsia="Times New Roman" w:hAnsi="Times New Roman"/>
          <w:sz w:val="15"/>
          <w:szCs w:val="15"/>
          <w:b w:val="1"/>
          <w:bCs w:val="1"/>
          <w:u w:val="single" w:color="auto"/>
          <w:color w:val="auto"/>
        </w:rPr>
        <w:t>Breach</w:t>
      </w:r>
      <w:r>
        <w:rPr>
          <w:rFonts w:ascii="Times New Roman" w:cs="Times New Roman" w:eastAsia="Times New Roman" w:hAnsi="Times New Roman"/>
          <w:sz w:val="15"/>
          <w:szCs w:val="15"/>
          <w:color w:val="auto"/>
        </w:rPr>
        <w:t>”). There has been no such Breach, and the Company and its Subsidiaries have not been notified of and the Company has no knowledge of any event or condition that would reasonably be expected to result in, any such Breach.</w:t>
      </w:r>
    </w:p>
    <w:p>
      <w:pPr>
        <w:spacing w:after="0" w:line="160" w:lineRule="exact"/>
        <w:rPr>
          <w:rFonts w:ascii="Times New Roman" w:cs="Times New Roman" w:eastAsia="Times New Roman" w:hAnsi="Times New Roman"/>
          <w:sz w:val="15"/>
          <w:szCs w:val="15"/>
          <w:color w:val="auto"/>
        </w:rPr>
      </w:pPr>
    </w:p>
    <w:p>
      <w:pPr>
        <w:jc w:val="both"/>
        <w:ind w:right="200" w:firstLine="1091"/>
        <w:spacing w:after="0" w:line="266" w:lineRule="auto"/>
        <w:tabs>
          <w:tab w:leader="none" w:pos="1323"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Insurance</w:t>
      </w:r>
      <w:r>
        <w:rPr>
          <w:rFonts w:ascii="Times New Roman" w:cs="Times New Roman" w:eastAsia="Times New Roman" w:hAnsi="Times New Roman"/>
          <w:sz w:val="15"/>
          <w:szCs w:val="15"/>
          <w:color w:val="auto"/>
        </w:rPr>
        <w:t>. The Company and its Subsidiaries are insured by insurers of recognized financial responsibility against such losses and risks and in such amounts as are prudent and customary in the businesses in which the Company and its Subsidiaries are engaged; the Company and its Subsidiaries have not been refused any insurance coverage sought or applied for; and neither the Company nor any Subsidiary has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4" w:name="page75"/>
    <w:bookmarkEnd w:id="74"/>
    <w:p>
      <w:pPr>
        <w:ind w:left="-20" w:right="280" w:firstLine="1091"/>
        <w:spacing w:after="0" w:line="272" w:lineRule="auto"/>
        <w:tabs>
          <w:tab w:leader="none" w:pos="1456"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Broker’s Fees</w:t>
      </w:r>
      <w:r>
        <w:rPr>
          <w:rFonts w:ascii="Times New Roman" w:cs="Times New Roman" w:eastAsia="Times New Roman" w:hAnsi="Times New Roman"/>
          <w:sz w:val="15"/>
          <w:szCs w:val="15"/>
          <w:color w:val="auto"/>
        </w:rPr>
        <w:t>. Neither the Company nor any Subsidiary is a party to any contract, agreement or understanding with any person that would give rise to a valid claim against the Company, any Subsidiary, or the Agents for a brokerage commission, finder’s fee or like payment in connection with the offering and sale of the Placement Shares other than this Agreement.</w:t>
      </w:r>
    </w:p>
    <w:p>
      <w:pPr>
        <w:spacing w:after="0" w:line="146" w:lineRule="exact"/>
        <w:rPr>
          <w:rFonts w:ascii="Times New Roman" w:cs="Times New Roman" w:eastAsia="Times New Roman" w:hAnsi="Times New Roman"/>
          <w:sz w:val="15"/>
          <w:szCs w:val="15"/>
          <w:color w:val="auto"/>
        </w:rPr>
      </w:pPr>
    </w:p>
    <w:p>
      <w:pPr>
        <w:ind w:left="-20" w:right="40" w:firstLine="1091"/>
        <w:spacing w:after="0" w:line="263" w:lineRule="auto"/>
        <w:tabs>
          <w:tab w:leader="none" w:pos="1371"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Broker/Dealer Relationships</w:t>
      </w:r>
      <w:r>
        <w:rPr>
          <w:rFonts w:ascii="Times New Roman" w:cs="Times New Roman" w:eastAsia="Times New Roman" w:hAnsi="Times New Roman"/>
          <w:sz w:val="15"/>
          <w:szCs w:val="15"/>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 No relationship, direct or indirect, exists between or among the Company, on the one hand, and the directors, officers or shareholders of the Company, on the other hand, which is required by the rules of FINRA to be described in the Registration Statement, the General Disclosure Package and the Prospectus, which is not so described.</w:t>
      </w:r>
    </w:p>
    <w:p>
      <w:pPr>
        <w:spacing w:after="0" w:line="153" w:lineRule="exact"/>
        <w:rPr>
          <w:rFonts w:ascii="Times New Roman" w:cs="Times New Roman" w:eastAsia="Times New Roman" w:hAnsi="Times New Roman"/>
          <w:sz w:val="15"/>
          <w:szCs w:val="15"/>
          <w:color w:val="auto"/>
        </w:rPr>
      </w:pPr>
    </w:p>
    <w:p>
      <w:pPr>
        <w:ind w:left="-20" w:firstLine="1091"/>
        <w:spacing w:after="0" w:line="272" w:lineRule="auto"/>
        <w:tabs>
          <w:tab w:leader="none" w:pos="1371"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Registration Rights</w:t>
      </w:r>
      <w:r>
        <w:rPr>
          <w:rFonts w:ascii="Times New Roman" w:cs="Times New Roman" w:eastAsia="Times New Roman" w:hAnsi="Times New Roman"/>
          <w:sz w:val="15"/>
          <w:szCs w:val="15"/>
          <w:color w:val="auto"/>
        </w:rPr>
        <w:t>. Except as disclosed in the Registration Statement, the General Disclosure Package or the Prospectus and as have been validly complied with or waived, there are no persons with registration rights or other similar rights to have any securities of the Company registered pursuant to the Registration Statement or sold in the offering contemplated by this Agreement.</w:t>
      </w:r>
    </w:p>
    <w:p>
      <w:pPr>
        <w:spacing w:after="0" w:line="146" w:lineRule="exact"/>
        <w:rPr>
          <w:rFonts w:ascii="Times New Roman" w:cs="Times New Roman" w:eastAsia="Times New Roman" w:hAnsi="Times New Roman"/>
          <w:sz w:val="15"/>
          <w:szCs w:val="15"/>
          <w:color w:val="auto"/>
        </w:rPr>
      </w:pPr>
    </w:p>
    <w:p>
      <w:pPr>
        <w:ind w:left="-20" w:right="140" w:firstLine="1091"/>
        <w:spacing w:after="0" w:line="263" w:lineRule="auto"/>
        <w:tabs>
          <w:tab w:leader="none" w:pos="1371"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Stabilization</w:t>
      </w:r>
      <w:r>
        <w:rPr>
          <w:rFonts w:ascii="Times New Roman" w:cs="Times New Roman" w:eastAsia="Times New Roman" w:hAnsi="Times New Roman"/>
          <w:sz w:val="15"/>
          <w:szCs w:val="15"/>
          <w:color w:val="auto"/>
        </w:rPr>
        <w:t>. Neither the Company, nor any of its Subsidiaries, nor any of their respective directors, officers or controlling persons, has taken, directly or indirectly, (i) any action designed to or that would be reasonably expected to cause or result in stabilization or manipulation of the price of the Common Stock or any other “reference security” (as defined in Rule 100 of Regulation M under the Exchange Act (“</w:t>
      </w:r>
      <w:r>
        <w:rPr>
          <w:rFonts w:ascii="Times New Roman" w:cs="Times New Roman" w:eastAsia="Times New Roman" w:hAnsi="Times New Roman"/>
          <w:sz w:val="15"/>
          <w:szCs w:val="15"/>
          <w:b w:val="1"/>
          <w:bCs w:val="1"/>
          <w:u w:val="single" w:color="auto"/>
          <w:color w:val="auto"/>
        </w:rPr>
        <w:t>Regulation M</w:t>
      </w:r>
      <w:r>
        <w:rPr>
          <w:rFonts w:ascii="Times New Roman" w:cs="Times New Roman" w:eastAsia="Times New Roman" w:hAnsi="Times New Roman"/>
          <w:sz w:val="15"/>
          <w:szCs w:val="15"/>
          <w:color w:val="auto"/>
        </w:rPr>
        <w:t>”)) whether to facilitate the sale or resale of the Placement Shares or otherwise, or (ii) any action which would directly or indirectly violate Regulation M. The Company acknowledges that the Agents may engage in passive market making transactions in the Placement Shares on the Exchange in accordance with Regulation M.</w:t>
      </w:r>
    </w:p>
    <w:p>
      <w:pPr>
        <w:spacing w:after="0" w:line="153" w:lineRule="exact"/>
        <w:rPr>
          <w:rFonts w:ascii="Times New Roman" w:cs="Times New Roman" w:eastAsia="Times New Roman" w:hAnsi="Times New Roman"/>
          <w:sz w:val="15"/>
          <w:szCs w:val="15"/>
          <w:color w:val="auto"/>
        </w:rPr>
      </w:pPr>
    </w:p>
    <w:p>
      <w:pPr>
        <w:jc w:val="both"/>
        <w:ind w:left="-20" w:right="80" w:firstLine="1091"/>
        <w:spacing w:after="0" w:line="272" w:lineRule="auto"/>
        <w:tabs>
          <w:tab w:leader="none" w:pos="1371"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Statistical and Market Data</w:t>
      </w:r>
      <w:r>
        <w:rPr>
          <w:rFonts w:ascii="Times New Roman" w:cs="Times New Roman" w:eastAsia="Times New Roman" w:hAnsi="Times New Roman"/>
          <w:sz w:val="15"/>
          <w:szCs w:val="15"/>
          <w:color w:val="auto"/>
        </w:rPr>
        <w:t>. The statistical and market and industry-related data included in the Registration Statement, the General Disclosure Package and the Prospectus are based on or derived from sources which the Company believes to be reliable and accurate or represent the Company’s good faith estimates that are made on the basis of data derived from such sources, and the Company has obtained the written consent to the use of such data from sources to the extent required.</w:t>
      </w:r>
    </w:p>
    <w:p>
      <w:pPr>
        <w:spacing w:after="0" w:line="146" w:lineRule="exact"/>
        <w:rPr>
          <w:rFonts w:ascii="Times New Roman" w:cs="Times New Roman" w:eastAsia="Times New Roman" w:hAnsi="Times New Roman"/>
          <w:sz w:val="15"/>
          <w:szCs w:val="15"/>
          <w:color w:val="auto"/>
        </w:rPr>
      </w:pPr>
    </w:p>
    <w:p>
      <w:pPr>
        <w:ind w:left="-20" w:right="20" w:firstLine="1091"/>
        <w:spacing w:after="0" w:line="266" w:lineRule="auto"/>
        <w:tabs>
          <w:tab w:leader="none" w:pos="1320"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Sarbanes-Oxley Act</w:t>
      </w:r>
      <w:r>
        <w:rPr>
          <w:rFonts w:ascii="Times New Roman" w:cs="Times New Roman" w:eastAsia="Times New Roman" w:hAnsi="Times New Roman"/>
          <w:sz w:val="15"/>
          <w:szCs w:val="15"/>
          <w:color w:val="auto"/>
        </w:rPr>
        <w:t>. Except as otherwise disclosed in the Registration Statement, the General Disclosure Package, or the Prospectus, there is and has been no failure on the part of the Company or, to the knowledge of the Company after reasonable inquiry, any of the Company’s directors or officers, in their capacities as such, to comply in all material respects with any provision of the Sarbanes-Oxley Act of 2002, as amended, and the rules and regulations promulgated in connection therewith, including Section 402 related to loans and Sections 302 and 906 related to certifications.</w:t>
      </w:r>
    </w:p>
    <w:p>
      <w:pPr>
        <w:spacing w:after="0" w:line="151" w:lineRule="exact"/>
        <w:rPr>
          <w:rFonts w:ascii="Times New Roman" w:cs="Times New Roman" w:eastAsia="Times New Roman" w:hAnsi="Times New Roman"/>
          <w:sz w:val="15"/>
          <w:szCs w:val="15"/>
          <w:color w:val="auto"/>
        </w:rPr>
      </w:pPr>
    </w:p>
    <w:p>
      <w:pPr>
        <w:ind w:left="-20" w:right="60" w:firstLine="1091"/>
        <w:spacing w:after="0" w:line="272" w:lineRule="auto"/>
        <w:tabs>
          <w:tab w:leader="none" w:pos="1337"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Ineligible Issuer</w:t>
      </w:r>
      <w:r>
        <w:rPr>
          <w:rFonts w:ascii="Times New Roman" w:cs="Times New Roman" w:eastAsia="Times New Roman" w:hAnsi="Times New Roman"/>
          <w:sz w:val="15"/>
          <w:szCs w:val="15"/>
          <w:color w:val="auto"/>
        </w:rPr>
        <w:t>. (i) At the earliest time after the filing of the Registration Statement that the Company or another offering participant made a bona fide offer (within the meaning of Rule 164(h)(2)) of the Placement Shares and (ii) as of each Applicable Time, the Company was not and is not an Ineligible Issuer (as defined in Rule 405 under the Securities Act), without taking account of any determination by the Commission pursuant to Rule 405 that it is not necessary that the Company be considered an Ineligible Issuer.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wp:posOffset>
            </wp:positionV>
            <wp:extent cx="7153275"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40" w:top="789" w:right="339" w:bottom="1440" w:gutter="0" w:footer="0" w:header="0"/>
        </w:sectPr>
      </w:pPr>
    </w:p>
    <w:bookmarkStart w:id="75" w:name="page76"/>
    <w:bookmarkEnd w:id="75"/>
    <w:p>
      <w:pPr>
        <w:ind w:firstLine="1091"/>
        <w:spacing w:after="0" w:line="256" w:lineRule="auto"/>
        <w:tabs>
          <w:tab w:leader="none" w:pos="1323"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Unlawful Payments</w:t>
      </w:r>
      <w:r>
        <w:rPr>
          <w:rFonts w:ascii="Times New Roman" w:cs="Times New Roman" w:eastAsia="Times New Roman" w:hAnsi="Times New Roman"/>
          <w:sz w:val="15"/>
          <w:szCs w:val="15"/>
          <w:color w:val="auto"/>
        </w:rPr>
        <w:t>. Neither the Company nor any of its Subsidiaries, nor any director, officer or employee of the Company or any of its Subsidiaries nor, to the knowledge of the Company, any agent, affiliate, representative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payment, promise to pay or authorization or approval of any unlawful payment or benefit, giving or receipt of money, property, gifts or anything else of value, directly or indirectly, to any foreign or domestic government official or employee, including of any government- 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the Bribery Act 2010 of the United Kingdom or any other applicable anti-bribery or anti-corruption law (collectively, “</w:t>
      </w:r>
      <w:r>
        <w:rPr>
          <w:rFonts w:ascii="Times New Roman" w:cs="Times New Roman" w:eastAsia="Times New Roman" w:hAnsi="Times New Roman"/>
          <w:sz w:val="15"/>
          <w:szCs w:val="15"/>
          <w:b w:val="1"/>
          <w:bCs w:val="1"/>
          <w:u w:val="single" w:color="auto"/>
          <w:color w:val="auto"/>
        </w:rPr>
        <w:t>Anti-Corruption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u w:val="single" w:color="auto"/>
          <w:color w:val="auto"/>
        </w:rPr>
        <w:t>Laws</w:t>
      </w:r>
      <w:r>
        <w:rPr>
          <w:rFonts w:ascii="Times New Roman" w:cs="Times New Roman" w:eastAsia="Times New Roman" w:hAnsi="Times New Roman"/>
          <w:sz w:val="15"/>
          <w:szCs w:val="15"/>
          <w:color w:val="auto"/>
        </w:rPr>
        <w:t>”); or (iv) made, offered, agreed, requested or taken an act in furtherance of any unlawful bribe or other unlawful benefit, including, without limitation, any rebate, payoff,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influence payment, kickback or other unlawful or improper payment or benefit, or otherwise promised, offered, provided, attempted to provide or authorized the provision of anything of value, directly or indirectly, to any person for the purpose of obtaining or retaining business, influencing any act or decision of the recipient, or securing any improper advantage. The Company and its Subsidiaries and, to the knowledge of the Company, the Company’s and its Subsidiaries’ affiliates have conducted their respective businesses in compliance with the Anti-Corruption Laws, and the Company has instituted, maintained and enforced, and will continue to maintain and enforce policies and procedures designed to promote and ensure compliance with all applicable Anti-Corruption Laws and the representations and warranties contained herein. The Company has not offered, or caused any placement agent to offer, Common Stock to any person with the intent to influence unlawfully (A) a customer or supplier of the Company or any Subsidiary to alter the customer’s or supplier’s level or type of business with the Company or any Subsidiary or (B) a trade journalist or publication to write or publish favorable information about the Company or any Subsidiary or any of their respective products or services. The Company will not use, directly or indirectly, the proceeds from the offering of the Placement Shares hereunder in furtherance of any offer, payment, promise to pay or authorization or approval of any payment or benefit, giving or receipt of money, property, gifts or anything else of value, to any person in violation of any anti-corruption laws.</w:t>
      </w:r>
    </w:p>
    <w:p>
      <w:pPr>
        <w:spacing w:after="0" w:line="351" w:lineRule="exact"/>
        <w:rPr>
          <w:rFonts w:ascii="Times New Roman" w:cs="Times New Roman" w:eastAsia="Times New Roman" w:hAnsi="Times New Roman"/>
          <w:sz w:val="15"/>
          <w:szCs w:val="15"/>
          <w:color w:val="auto"/>
        </w:rPr>
      </w:pPr>
    </w:p>
    <w:p>
      <w:pPr>
        <w:ind w:right="40" w:firstLine="1091"/>
        <w:spacing w:after="0" w:line="261" w:lineRule="auto"/>
        <w:tabs>
          <w:tab w:leader="none" w:pos="1391"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Anti-Money Laundering Laws</w:t>
      </w:r>
      <w:r>
        <w:rPr>
          <w:rFonts w:ascii="Times New Roman" w:cs="Times New Roman" w:eastAsia="Times New Roman" w:hAnsi="Times New Roman"/>
          <w:sz w:val="15"/>
          <w:szCs w:val="15"/>
          <w:color w:val="auto"/>
        </w:rPr>
        <w:t>. The operations of the Company and its Subsidiaries are and have been conducted at all times in compliance with all applicable financial recordkeeping and reporting requirements, including those of the Currency and Foreign Transactions Reporting Act of 1970, as amended, the applicable money laundering statutes of all jurisdictions where the Company or its Subsidiaries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5"/>
          <w:szCs w:val="15"/>
          <w:b w:val="1"/>
          <w:bCs w:val="1"/>
          <w:u w:val="single" w:color="auto"/>
          <w:color w:val="auto"/>
        </w:rPr>
        <w:t>Anti-Money Laundering Laws</w:t>
      </w:r>
      <w:r>
        <w:rPr>
          <w:rFonts w:ascii="Times New Roman" w:cs="Times New Roman" w:eastAsia="Times New Roman" w:hAnsi="Times New Roman"/>
          <w:sz w:val="15"/>
          <w:szCs w:val="15"/>
          <w:color w:val="auto"/>
        </w:rPr>
        <w:t>”), and no action, suit or proceeding by or before any court or governmental agency, authority or body or any arbitrator involving the Company or any Subsidiary with respect to the Anti-Money Laundering Laws is pending or, to the knowledge of the Company, threatened.</w:t>
      </w:r>
    </w:p>
    <w:p>
      <w:pPr>
        <w:spacing w:after="0" w:line="152" w:lineRule="exact"/>
        <w:rPr>
          <w:rFonts w:ascii="Times New Roman" w:cs="Times New Roman" w:eastAsia="Times New Roman" w:hAnsi="Times New Roman"/>
          <w:sz w:val="15"/>
          <w:szCs w:val="15"/>
          <w:color w:val="auto"/>
        </w:rPr>
      </w:pPr>
    </w:p>
    <w:p>
      <w:pPr>
        <w:ind w:firstLine="1091"/>
        <w:spacing w:after="0" w:line="258" w:lineRule="auto"/>
        <w:tabs>
          <w:tab w:leader="none" w:pos="1391"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Conflicts with Sanctions Laws</w:t>
      </w:r>
      <w:r>
        <w:rPr>
          <w:rFonts w:ascii="Times New Roman" w:cs="Times New Roman" w:eastAsia="Times New Roman" w:hAnsi="Times New Roman"/>
          <w:sz w:val="15"/>
          <w:szCs w:val="15"/>
          <w:color w:val="auto"/>
        </w:rPr>
        <w:t>. Neither the Company nor any of its Subsidiaries (collectively, the “</w:t>
      </w:r>
      <w:r>
        <w:rPr>
          <w:rFonts w:ascii="Times New Roman" w:cs="Times New Roman" w:eastAsia="Times New Roman" w:hAnsi="Times New Roman"/>
          <w:sz w:val="15"/>
          <w:szCs w:val="15"/>
          <w:b w:val="1"/>
          <w:bCs w:val="1"/>
          <w:u w:val="single" w:color="auto"/>
          <w:color w:val="auto"/>
        </w:rPr>
        <w:t>Entity</w:t>
      </w:r>
      <w:r>
        <w:rPr>
          <w:rFonts w:ascii="Times New Roman" w:cs="Times New Roman" w:eastAsia="Times New Roman" w:hAnsi="Times New Roman"/>
          <w:sz w:val="15"/>
          <w:szCs w:val="15"/>
          <w:color w:val="auto"/>
        </w:rPr>
        <w:t>”), nor any of their directors, officers, or employees, nor, to the knowledge of the Company, any agent, affiliate, representative or other person associated with or acting on behalf of the Company or its Subsidiaries (each, a “</w:t>
      </w:r>
      <w:r>
        <w:rPr>
          <w:rFonts w:ascii="Times New Roman" w:cs="Times New Roman" w:eastAsia="Times New Roman" w:hAnsi="Times New Roman"/>
          <w:sz w:val="15"/>
          <w:szCs w:val="15"/>
          <w:b w:val="1"/>
          <w:bCs w:val="1"/>
          <w:u w:val="single" w:color="auto"/>
          <w:color w:val="auto"/>
        </w:rPr>
        <w:t>Person</w:t>
      </w:r>
      <w:r>
        <w:rPr>
          <w:rFonts w:ascii="Times New Roman" w:cs="Times New Roman" w:eastAsia="Times New Roman" w:hAnsi="Times New Roman"/>
          <w:sz w:val="15"/>
          <w:szCs w:val="15"/>
          <w:color w:val="auto"/>
        </w:rPr>
        <w:t>”) is, or is owned or controlled by one or more persons that are (A)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or OFAC’s Foreign Sanctions Evaders List), the United Nations Security Council, the European Union, His Majesty’s Treasury or other relevant sanctions authority (as amended, collectively, “</w:t>
      </w:r>
      <w:r>
        <w:rPr>
          <w:rFonts w:ascii="Times New Roman" w:cs="Times New Roman" w:eastAsia="Times New Roman" w:hAnsi="Times New Roman"/>
          <w:sz w:val="15"/>
          <w:szCs w:val="15"/>
          <w:b w:val="1"/>
          <w:bCs w:val="1"/>
          <w:u w:val="single" w:color="auto"/>
          <w:color w:val="auto"/>
        </w:rPr>
        <w:t>Sanctions</w:t>
      </w:r>
      <w:r>
        <w:rPr>
          <w:rFonts w:ascii="Times New Roman" w:cs="Times New Roman" w:eastAsia="Times New Roman" w:hAnsi="Times New Roman"/>
          <w:sz w:val="15"/>
          <w:szCs w:val="15"/>
          <w:color w:val="auto"/>
        </w:rPr>
        <w:t>”) or (B) located, organized or resident in a country or territory that is the subject or target of Sanctions, including, without limitation, Cuba, Iran, North Korea, Syria, the so-called Donetsk People’s Republic, the so-called Luhansk People’s Republic, the Crimea Region of the Ukraine, and the non-government controlled areas of the Zaporizhzhia and Kherson Regions of Ukraine (or any other Covered Region of Ukraine identified pursuant to Executive Order 14065) (each, a “</w:t>
      </w:r>
      <w:r>
        <w:rPr>
          <w:rFonts w:ascii="Times New Roman" w:cs="Times New Roman" w:eastAsia="Times New Roman" w:hAnsi="Times New Roman"/>
          <w:sz w:val="15"/>
          <w:szCs w:val="15"/>
          <w:b w:val="1"/>
          <w:bCs w:val="1"/>
          <w:u w:val="single" w:color="auto"/>
          <w:color w:val="auto"/>
        </w:rPr>
        <w:t>Sanctioned Country</w:t>
      </w:r>
      <w:r>
        <w:rPr>
          <w:rFonts w:ascii="Times New Roman" w:cs="Times New Roman" w:eastAsia="Times New Roman" w:hAnsi="Times New Roman"/>
          <w:sz w:val="15"/>
          <w:szCs w:val="15"/>
          <w:color w:val="auto"/>
        </w:rPr>
        <w:t>”). The Entity will not directly or indirectly use the proceeds of the offering of the Placement Shares hereunder, or lend, contribute or otherwise make available such proceeds to any joint venture partner or other Person (i) to fund or facilitate any activities of or business with any Person that, at the time of such funding or facilitation, is the subject or target of Sanctions, (ii) to fund or facilitate any activities of or business in any country or territory that, at the time of such funding or facilitation, is the subject of Sanctions or is a Sanctioned Country or (iii) in any other manner that will result in a violation by any Person (including any person participating in the transaction, whether as underwriter, advisor, investor or otherwise) of Sanctions. For the past five years, the Company and each of its Subsidiaries has not engaged in and is not now engaged in, and will not engage in, any dealings or transactions with any Person, or in any country or territory, that at the time of the dealing or transaction is or was the subject of Sanctions or is or was a Sanctioned Country.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76" w:name="page77"/>
    <w:bookmarkEnd w:id="76"/>
    <w:p>
      <w:pPr>
        <w:ind w:firstLine="1091"/>
        <w:spacing w:after="0" w:line="290" w:lineRule="auto"/>
        <w:tabs>
          <w:tab w:leader="none" w:pos="1459"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FINRA Matters</w:t>
      </w:r>
      <w:r>
        <w:rPr>
          <w:rFonts w:ascii="Times New Roman" w:cs="Times New Roman" w:eastAsia="Times New Roman" w:hAnsi="Times New Roman"/>
          <w:sz w:val="15"/>
          <w:szCs w:val="15"/>
          <w:color w:val="auto"/>
        </w:rPr>
        <w:t>. The information provided to the Agents by the Company, its counsel, and its officers and directors for purposes of the Agents’ compliance with applicable FINRA rules in connection with the offering of the Shares is true, complete, and correct and compliant with FINRA’s rules.</w:t>
      </w:r>
    </w:p>
    <w:p>
      <w:pPr>
        <w:spacing w:after="0" w:line="132" w:lineRule="exact"/>
        <w:rPr>
          <w:rFonts w:ascii="Times New Roman" w:cs="Times New Roman" w:eastAsia="Times New Roman" w:hAnsi="Times New Roman"/>
          <w:sz w:val="15"/>
          <w:szCs w:val="15"/>
          <w:color w:val="auto"/>
        </w:rPr>
      </w:pPr>
    </w:p>
    <w:p>
      <w:pPr>
        <w:ind w:right="40" w:firstLine="1091"/>
        <w:spacing w:after="0" w:line="290" w:lineRule="auto"/>
        <w:tabs>
          <w:tab w:leader="none" w:pos="1391"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Reliance</w:t>
      </w:r>
      <w:r>
        <w:rPr>
          <w:rFonts w:ascii="Times New Roman" w:cs="Times New Roman" w:eastAsia="Times New Roman" w:hAnsi="Times New Roman"/>
          <w:sz w:val="15"/>
          <w:szCs w:val="15"/>
          <w:color w:val="auto"/>
        </w:rPr>
        <w:t>. The Company has not relied upon the Agents or legal counsel for the Agents for any legal, tax or accounting advice in connection with the offering and sale of the Placement Shares.</w:t>
      </w:r>
    </w:p>
    <w:p>
      <w:pPr>
        <w:spacing w:after="0" w:line="132" w:lineRule="exact"/>
        <w:rPr>
          <w:rFonts w:ascii="Times New Roman" w:cs="Times New Roman" w:eastAsia="Times New Roman" w:hAnsi="Times New Roman"/>
          <w:sz w:val="15"/>
          <w:szCs w:val="15"/>
          <w:color w:val="auto"/>
        </w:rPr>
      </w:pPr>
    </w:p>
    <w:p>
      <w:pPr>
        <w:ind w:right="140" w:firstLine="1091"/>
        <w:spacing w:after="0" w:line="272" w:lineRule="auto"/>
        <w:tabs>
          <w:tab w:leader="none" w:pos="1391"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Agent Purchases</w:t>
      </w:r>
      <w:r>
        <w:rPr>
          <w:rFonts w:ascii="Times New Roman" w:cs="Times New Roman" w:eastAsia="Times New Roman" w:hAnsi="Times New Roman"/>
          <w:sz w:val="15"/>
          <w:szCs w:val="15"/>
          <w:color w:val="auto"/>
        </w:rPr>
        <w:t>. The Company acknowledges and agrees that the Agents have informed the Company that each Agent may, to the extent permitted under the Securities Act and the Exchange Act, purchase and sell Common Stock for its own account while this Agreement is in effect, provided, that the Company shall not be deemed to have authorized or consented to any such purchases or sales by such Agent.</w:t>
      </w:r>
    </w:p>
    <w:p>
      <w:pPr>
        <w:spacing w:after="0" w:line="146" w:lineRule="exact"/>
        <w:rPr>
          <w:rFonts w:ascii="Times New Roman" w:cs="Times New Roman" w:eastAsia="Times New Roman" w:hAnsi="Times New Roman"/>
          <w:sz w:val="15"/>
          <w:szCs w:val="15"/>
          <w:color w:val="auto"/>
        </w:rPr>
      </w:pPr>
    </w:p>
    <w:p>
      <w:pPr>
        <w:ind w:right="100" w:firstLine="1091"/>
        <w:spacing w:after="0" w:line="263" w:lineRule="auto"/>
        <w:tabs>
          <w:tab w:leader="none" w:pos="1374" w:val="left"/>
        </w:tabs>
        <w:numPr>
          <w:ilvl w:val="0"/>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Laws</w:t>
      </w:r>
      <w:r>
        <w:rPr>
          <w:rFonts w:ascii="Times New Roman" w:cs="Times New Roman" w:eastAsia="Times New Roman" w:hAnsi="Times New Roman"/>
          <w:sz w:val="15"/>
          <w:szCs w:val="15"/>
          <w:color w:val="auto"/>
        </w:rPr>
        <w:t>. The Company and each of its Subsidiaries are in compliance with all applicable laws, regulations and statutes (including all environmental laws and regulations) in the jurisdictions in which it carries on business; the Company and each of its Subsidiaries has not received a notice of non-compliance, nor knows of, nor has reasonable grounds to know of, any facts that could give rise to a notice of non-compliance with any such laws, regulations and statutes, and is not aware of any pending change or contemplated change to any applicable law or regulation or governmental position; in each case that would materially adversely affect the business of the Company or its Subsidiaries or the business or legal environment under which the Company or its Subsidiaries operate.</w:t>
      </w:r>
    </w:p>
    <w:p>
      <w:pPr>
        <w:spacing w:after="0" w:line="154" w:lineRule="exact"/>
        <w:rPr>
          <w:sz w:val="20"/>
          <w:szCs w:val="20"/>
          <w:color w:val="auto"/>
        </w:rPr>
      </w:pPr>
    </w:p>
    <w:p>
      <w:pPr>
        <w:ind w:firstLine="1091"/>
        <w:spacing w:after="0" w:line="290" w:lineRule="auto"/>
        <w:tabs>
          <w:tab w:leader="none" w:pos="1442"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Emerging Growth Company Status</w:t>
      </w:r>
      <w:r>
        <w:rPr>
          <w:rFonts w:ascii="Times New Roman" w:cs="Times New Roman" w:eastAsia="Times New Roman" w:hAnsi="Times New Roman"/>
          <w:sz w:val="15"/>
          <w:szCs w:val="15"/>
          <w:color w:val="auto"/>
        </w:rPr>
        <w:t>. From the time of the initial filing of the Company’s first registration statement with the Commission through the date of this Agreement, the Company has been and is an “emerging growth company,” as defined in Section 2(a) of the Securities Act (an “</w:t>
      </w:r>
      <w:r>
        <w:rPr>
          <w:rFonts w:ascii="Times New Roman" w:cs="Times New Roman" w:eastAsia="Times New Roman" w:hAnsi="Times New Roman"/>
          <w:sz w:val="15"/>
          <w:szCs w:val="15"/>
          <w:b w:val="1"/>
          <w:bCs w:val="1"/>
          <w:u w:val="single" w:color="auto"/>
          <w:color w:val="auto"/>
        </w:rPr>
        <w:t>Emerging Growth Company</w:t>
      </w:r>
      <w:r>
        <w:rPr>
          <w:rFonts w:ascii="Times New Roman" w:cs="Times New Roman" w:eastAsia="Times New Roman" w:hAnsi="Times New Roman"/>
          <w:sz w:val="15"/>
          <w:szCs w:val="15"/>
          <w:color w:val="auto"/>
        </w:rPr>
        <w:t>”).</w:t>
      </w:r>
    </w:p>
    <w:p>
      <w:pPr>
        <w:spacing w:after="0" w:line="132" w:lineRule="exact"/>
        <w:rPr>
          <w:rFonts w:ascii="Times New Roman" w:cs="Times New Roman" w:eastAsia="Times New Roman" w:hAnsi="Times New Roman"/>
          <w:sz w:val="15"/>
          <w:szCs w:val="15"/>
          <w:color w:val="auto"/>
        </w:rPr>
      </w:pPr>
    </w:p>
    <w:p>
      <w:pPr>
        <w:ind w:left="1460" w:hanging="369"/>
        <w:spacing w:after="0"/>
        <w:tabs>
          <w:tab w:leader="none" w:pos="146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Bankruptcy</w:t>
      </w:r>
      <w:r>
        <w:rPr>
          <w:rFonts w:ascii="Times New Roman" w:cs="Times New Roman" w:eastAsia="Times New Roman" w:hAnsi="Times New Roman"/>
          <w:sz w:val="15"/>
          <w:szCs w:val="15"/>
          <w:color w:val="auto"/>
        </w:rPr>
        <w:t>. The Company and each of its Subsidiaries is not in or subject to a bankruptcy or insolvency proceeding in any jurisdiction.</w:t>
      </w:r>
    </w:p>
    <w:p>
      <w:pPr>
        <w:spacing w:after="0" w:line="193" w:lineRule="exact"/>
        <w:rPr>
          <w:rFonts w:ascii="Times New Roman" w:cs="Times New Roman" w:eastAsia="Times New Roman" w:hAnsi="Times New Roman"/>
          <w:sz w:val="15"/>
          <w:szCs w:val="15"/>
          <w:color w:val="auto"/>
        </w:rPr>
      </w:pPr>
    </w:p>
    <w:p>
      <w:pPr>
        <w:ind w:right="80" w:firstLine="1091"/>
        <w:spacing w:after="0" w:line="290" w:lineRule="auto"/>
        <w:tabs>
          <w:tab w:leader="none" w:pos="1442"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Conformity with EDGAR Filing</w:t>
      </w:r>
      <w:r>
        <w:rPr>
          <w:rFonts w:ascii="Times New Roman" w:cs="Times New Roman" w:eastAsia="Times New Roman" w:hAnsi="Times New Roman"/>
          <w:sz w:val="15"/>
          <w:szCs w:val="15"/>
          <w:color w:val="auto"/>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32" w:lineRule="exact"/>
        <w:rPr>
          <w:rFonts w:ascii="Times New Roman" w:cs="Times New Roman" w:eastAsia="Times New Roman" w:hAnsi="Times New Roman"/>
          <w:sz w:val="15"/>
          <w:szCs w:val="15"/>
          <w:color w:val="auto"/>
        </w:rPr>
      </w:pPr>
    </w:p>
    <w:p>
      <w:pPr>
        <w:ind w:firstLine="1091"/>
        <w:spacing w:after="0" w:line="266" w:lineRule="auto"/>
        <w:tabs>
          <w:tab w:leader="none" w:pos="1467"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Enforceability of Agreements</w:t>
      </w:r>
      <w:r>
        <w:rPr>
          <w:rFonts w:ascii="Times New Roman" w:cs="Times New Roman" w:eastAsia="Times New Roman" w:hAnsi="Times New Roman"/>
          <w:sz w:val="15"/>
          <w:szCs w:val="15"/>
          <w:color w:val="auto"/>
        </w:rPr>
        <w:t>. All agreements between the Company and it Subsidiaries and third parties expressly referenced in the Registration Statement, the General Disclosure Package and Prospectus are legal, valid and binding obligations of the Company and its Subsidiaries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w:t>
      </w:r>
    </w:p>
    <w:p>
      <w:pPr>
        <w:spacing w:after="0" w:line="151" w:lineRule="exact"/>
        <w:rPr>
          <w:rFonts w:ascii="Times New Roman" w:cs="Times New Roman" w:eastAsia="Times New Roman" w:hAnsi="Times New Roman"/>
          <w:sz w:val="15"/>
          <w:szCs w:val="15"/>
          <w:color w:val="auto"/>
        </w:rPr>
      </w:pPr>
    </w:p>
    <w:p>
      <w:pPr>
        <w:ind w:right="80" w:firstLine="1091"/>
        <w:spacing w:after="0" w:line="263" w:lineRule="auto"/>
        <w:tabs>
          <w:tab w:leader="none" w:pos="1442"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Forward-Looking Statements</w:t>
      </w:r>
      <w:r>
        <w:rPr>
          <w:rFonts w:ascii="Times New Roman" w:cs="Times New Roman" w:eastAsia="Times New Roman" w:hAnsi="Times New Roman"/>
          <w:sz w:val="15"/>
          <w:szCs w:val="15"/>
          <w:color w:val="auto"/>
        </w:rPr>
        <w:t>. Each financial or operational projection or other forward-looking statement (within the meaning of Section 27A of the Securities Act and Section 21E of the Exchange Act) (a “</w:t>
      </w:r>
      <w:r>
        <w:rPr>
          <w:rFonts w:ascii="Times New Roman" w:cs="Times New Roman" w:eastAsia="Times New Roman" w:hAnsi="Times New Roman"/>
          <w:sz w:val="15"/>
          <w:szCs w:val="15"/>
          <w:b w:val="1"/>
          <w:bCs w:val="1"/>
          <w:u w:val="single" w:color="auto"/>
          <w:color w:val="auto"/>
        </w:rPr>
        <w:t>Forward-Looking Statement</w:t>
      </w:r>
      <w:r>
        <w:rPr>
          <w:rFonts w:ascii="Times New Roman" w:cs="Times New Roman" w:eastAsia="Times New Roman" w:hAnsi="Times New Roman"/>
          <w:sz w:val="15"/>
          <w:szCs w:val="15"/>
          <w:color w:val="auto"/>
        </w:rPr>
        <w:t>”) contained in the Registration Statement, the General Disclosure Package and the Prospectus (i) was so included by the Company in good faith and with a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Forward-Looking Statement was made with the knowledge of a director or executive officer of the Company that was false or misleading.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77" w:name="page78"/>
    <w:bookmarkEnd w:id="77"/>
    <w:p>
      <w:pPr>
        <w:ind w:left="8" w:right="140" w:firstLine="1091"/>
        <w:spacing w:after="0" w:line="261" w:lineRule="auto"/>
        <w:tabs>
          <w:tab w:leader="none" w:pos="1394"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Agent Purchases, Research Analyst Independence</w:t>
      </w:r>
      <w:r>
        <w:rPr>
          <w:rFonts w:ascii="Times New Roman" w:cs="Times New Roman" w:eastAsia="Times New Roman" w:hAnsi="Times New Roman"/>
          <w:sz w:val="15"/>
          <w:szCs w:val="15"/>
          <w:color w:val="auto"/>
        </w:rPr>
        <w:t>. The Company understands that each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 The Company further acknowledges that each Agent’s research analysts and research departments are required to and should be independent from their respective investment banking divisions and are subject to certain regulations and internal policies, and as such each Agent’s research analysts may hold views and make statements or investment recommendations and/or publish research reports with respect to the Company or the offering contemplated by this Agreement that differ from the views of their respective investment banking divisions.</w:t>
      </w:r>
    </w:p>
    <w:p>
      <w:pPr>
        <w:spacing w:after="0" w:line="156" w:lineRule="exact"/>
        <w:rPr>
          <w:rFonts w:ascii="Times New Roman" w:cs="Times New Roman" w:eastAsia="Times New Roman" w:hAnsi="Times New Roman"/>
          <w:sz w:val="15"/>
          <w:szCs w:val="15"/>
          <w:color w:val="auto"/>
        </w:rPr>
      </w:pPr>
    </w:p>
    <w:p>
      <w:pPr>
        <w:ind w:left="8" w:right="200" w:firstLine="1091"/>
        <w:spacing w:after="0" w:line="272" w:lineRule="auto"/>
        <w:tabs>
          <w:tab w:leader="none" w:pos="1476"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Margin Rules</w:t>
      </w:r>
      <w:r>
        <w:rPr>
          <w:rFonts w:ascii="Times New Roman" w:cs="Times New Roman" w:eastAsia="Times New Roman" w:hAnsi="Times New Roman"/>
          <w:sz w:val="15"/>
          <w:szCs w:val="15"/>
          <w:color w:val="auto"/>
        </w:rPr>
        <w:t>. Neither the issuance, sale and delivery of the Placement Shares nor the application of the proceeds thereof by the Company as described in the Registration Statement, the General Disclosure Package and the Prospectus will violate Regulation T, U or X of the Board of Governors of the Federal Reserve System or any other regulation of such Board of Governors.</w:t>
      </w:r>
    </w:p>
    <w:p>
      <w:pPr>
        <w:spacing w:after="0" w:line="146" w:lineRule="exact"/>
        <w:rPr>
          <w:rFonts w:ascii="Times New Roman" w:cs="Times New Roman" w:eastAsia="Times New Roman" w:hAnsi="Times New Roman"/>
          <w:sz w:val="15"/>
          <w:szCs w:val="15"/>
          <w:color w:val="auto"/>
        </w:rPr>
      </w:pPr>
    </w:p>
    <w:p>
      <w:pPr>
        <w:ind w:left="8" w:right="120" w:firstLine="1091"/>
        <w:spacing w:after="0" w:line="272" w:lineRule="auto"/>
        <w:tabs>
          <w:tab w:leader="none" w:pos="1476"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Export Compliance</w:t>
      </w:r>
      <w:r>
        <w:rPr>
          <w:rFonts w:ascii="Times New Roman" w:cs="Times New Roman" w:eastAsia="Times New Roman" w:hAnsi="Times New Roman"/>
          <w:sz w:val="15"/>
          <w:szCs w:val="15"/>
          <w:color w:val="auto"/>
        </w:rPr>
        <w:t>. The Company and each of its subsidiaries has not, nor has any director, officer, agent, employee or other Person acting on behalf of the Company or any of its subsidiaries violated or failed to comply with any applicable law related to the export or reexport of goods (including hardware, software, technology and data), services and know-how except in such cases as would not reasonably be expected, individually or in the aggregate, to have a Material Adverse Effect.</w:t>
      </w:r>
    </w:p>
    <w:p>
      <w:pPr>
        <w:spacing w:after="0" w:line="146" w:lineRule="exact"/>
        <w:rPr>
          <w:rFonts w:ascii="Times New Roman" w:cs="Times New Roman" w:eastAsia="Times New Roman" w:hAnsi="Times New Roman"/>
          <w:sz w:val="15"/>
          <w:szCs w:val="15"/>
          <w:color w:val="auto"/>
        </w:rPr>
      </w:pPr>
    </w:p>
    <w:p>
      <w:pPr>
        <w:jc w:val="both"/>
        <w:ind w:left="8" w:right="240" w:firstLine="1091"/>
        <w:spacing w:after="0" w:line="272" w:lineRule="auto"/>
        <w:tabs>
          <w:tab w:leader="none" w:pos="1374"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Transfer Taxes</w:t>
      </w:r>
      <w:r>
        <w:rPr>
          <w:rFonts w:ascii="Times New Roman" w:cs="Times New Roman" w:eastAsia="Times New Roman" w:hAnsi="Times New Roman"/>
          <w:sz w:val="15"/>
          <w:szCs w:val="15"/>
          <w:color w:val="auto"/>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p>
      <w:pPr>
        <w:spacing w:after="0" w:line="146" w:lineRule="exact"/>
        <w:rPr>
          <w:sz w:val="20"/>
          <w:szCs w:val="20"/>
          <w:color w:val="auto"/>
        </w:rPr>
      </w:pPr>
    </w:p>
    <w:p>
      <w:pPr>
        <w:ind w:left="8" w:right="20" w:firstLine="549"/>
        <w:spacing w:after="0" w:line="290" w:lineRule="auto"/>
        <w:rPr>
          <w:sz w:val="20"/>
          <w:szCs w:val="20"/>
          <w:color w:val="auto"/>
        </w:rPr>
      </w:pPr>
      <w:r>
        <w:rPr>
          <w:rFonts w:ascii="Times New Roman" w:cs="Times New Roman" w:eastAsia="Times New Roman" w:hAnsi="Times New Roman"/>
          <w:sz w:val="15"/>
          <w:szCs w:val="15"/>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pacing w:after="0" w:line="133" w:lineRule="exact"/>
        <w:rPr>
          <w:sz w:val="20"/>
          <w:szCs w:val="20"/>
          <w:color w:val="auto"/>
        </w:rPr>
      </w:pPr>
    </w:p>
    <w:p>
      <w:pPr>
        <w:ind w:left="708" w:hanging="159"/>
        <w:spacing w:after="0"/>
        <w:tabs>
          <w:tab w:leader="none" w:pos="708" w:val="left"/>
        </w:tabs>
        <w:numPr>
          <w:ilvl w:val="1"/>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Covenants of the Company</w:t>
      </w:r>
      <w:r>
        <w:rPr>
          <w:rFonts w:ascii="Times New Roman" w:cs="Times New Roman" w:eastAsia="Times New Roman" w:hAnsi="Times New Roman"/>
          <w:sz w:val="15"/>
          <w:szCs w:val="15"/>
          <w:color w:val="auto"/>
        </w:rPr>
        <w:t>. The Company covenants and agrees with each Agent that:</w:t>
      </w:r>
    </w:p>
    <w:p>
      <w:pPr>
        <w:spacing w:after="0" w:line="193" w:lineRule="exact"/>
        <w:rPr>
          <w:rFonts w:ascii="Times New Roman" w:cs="Times New Roman" w:eastAsia="Times New Roman" w:hAnsi="Times New Roman"/>
          <w:sz w:val="15"/>
          <w:szCs w:val="15"/>
          <w:color w:val="auto"/>
        </w:rPr>
      </w:pPr>
    </w:p>
    <w:p>
      <w:pPr>
        <w:jc w:val="both"/>
        <w:ind w:left="8" w:right="20" w:firstLine="1091"/>
        <w:spacing w:after="0" w:line="265" w:lineRule="auto"/>
        <w:tabs>
          <w:tab w:leader="none" w:pos="1315" w:val="left"/>
        </w:tabs>
        <w:numPr>
          <w:ilvl w:val="2"/>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Statement Amendments</w:t>
      </w:r>
      <w:r>
        <w:rPr>
          <w:rFonts w:ascii="Times New Roman" w:cs="Times New Roman" w:eastAsia="Times New Roman" w:hAnsi="Times New Roman"/>
          <w:sz w:val="15"/>
          <w:szCs w:val="15"/>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or similar rule),</w:t>
      </w:r>
    </w:p>
    <w:p>
      <w:pPr>
        <w:ind w:left="8" w:hanging="8"/>
        <w:spacing w:after="0" w:line="254" w:lineRule="auto"/>
        <w:tabs>
          <w:tab w:leader="none" w:pos="191"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notify the Agents promptly of the time when any subsequent amendment to the Registration Statement, other than documents incorporated by reference or amendments not related to any Placement, has been filed with the Commission and/or has become effective or any subsequent supplement to the Prospectus has been filed and of any request by the Commission for any amendment or supplement to the Registration Statement or Prospectus related to the Placement or for additional information related to the Placement, (ii) the Company will prepare and file with the Commission, promptly upon the Agents’ reasonable request, any amendments or supplements to the Registration Statement or Prospectus that, in the Agents’ reasonable opinion, may be necessary or advisable in connection with the distribution of the Placement Shares by the Agents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the failure of the Agents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xml:space="preserve">, that the only remedy the Agents shall have with respect to the failure to make such filing (but without limiting the Agents’ rights under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hereof) shall be to cease making sales under this Agreement until such amendment or supplement is filed); (iii) the Company will not file any amendment or supplement to the Registration Statement (other than an amendment or supplement relating to an offering of the Company’s securities that is unrelated to the offering of the Placement Shares) or Prospectus relating to the Placement Shares or a security convertible into the Placement Shares unless a copy thereof has been submitted to Agents within a reasonable period of time before the filing and the Agents have not reasonably objected in writing thereto within two (2) Business Days of such submission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w:t>
      </w:r>
    </w:p>
    <w:p>
      <w:pPr>
        <w:spacing w:after="0" w:line="6" w:lineRule="exact"/>
        <w:rPr>
          <w:rFonts w:ascii="Times New Roman" w:cs="Times New Roman" w:eastAsia="Times New Roman" w:hAnsi="Times New Roman"/>
          <w:sz w:val="15"/>
          <w:szCs w:val="15"/>
          <w:color w:val="auto"/>
        </w:rPr>
      </w:pPr>
    </w:p>
    <w:p>
      <w:pPr>
        <w:ind w:left="8" w:right="20"/>
        <w:spacing w:after="0" w:line="256"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the failure of the Agents to make such objection shall not relieve the Company of any obligation or liability hereunder, or affect the Agents’ right to rely on the representations and warranties made by the Company in this Agreement and (B) the Company has no obligation to provide the Agents any advance copy of such filing or to provide the Agents an opportunity to object to such filing if the filing does not name the Agents and does not relate to the transaction herein;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xml:space="preserve">, that the only remedy the Agents shall have with respect to the failure by the Company to obtain such consent (but without limiting the Agent’s rights under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hereof)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relating to the Placement Shares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5"/>
          <w:szCs w:val="15"/>
          <w:u w:val="single" w:color="auto"/>
          <w:color w:val="auto"/>
        </w:rPr>
        <w:t>Section 7(a)</w:t>
      </w:r>
      <w:r>
        <w:rPr>
          <w:rFonts w:ascii="Times New Roman" w:cs="Times New Roman" w:eastAsia="Times New Roman" w:hAnsi="Times New Roman"/>
          <w:sz w:val="15"/>
          <w:szCs w:val="15"/>
          <w:color w:val="auto"/>
        </w:rPr>
        <w:t>, based on the Company’s reasonable opinion or reasonable objections, shall be made exclusively by the Company).</w:t>
      </w:r>
    </w:p>
    <w:p>
      <w:pPr>
        <w:spacing w:after="0" w:line="200" w:lineRule="exact"/>
        <w:rPr>
          <w:sz w:val="20"/>
          <w:szCs w:val="20"/>
          <w:color w:val="auto"/>
        </w:rPr>
      </w:pPr>
    </w:p>
    <w:p>
      <w:pPr>
        <w:spacing w:after="0" w:line="3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9" w:right="319" w:bottom="1440" w:gutter="0" w:footer="0" w:header="0"/>
        </w:sectPr>
      </w:pPr>
    </w:p>
    <w:bookmarkStart w:id="78" w:name="page79"/>
    <w:bookmarkEnd w:id="78"/>
    <w:p>
      <w:pPr>
        <w:ind w:right="20" w:firstLine="1091"/>
        <w:spacing w:after="0" w:line="261" w:lineRule="auto"/>
        <w:tabs>
          <w:tab w:leader="none" w:pos="1315"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of Commission Stop Orders</w:t>
      </w:r>
      <w:r>
        <w:rPr>
          <w:rFonts w:ascii="Times New Roman" w:cs="Times New Roman" w:eastAsia="Times New Roman" w:hAnsi="Times New Roman"/>
          <w:sz w:val="15"/>
          <w:szCs w:val="15"/>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56" w:lineRule="exact"/>
        <w:rPr>
          <w:rFonts w:ascii="Times New Roman" w:cs="Times New Roman" w:eastAsia="Times New Roman" w:hAnsi="Times New Roman"/>
          <w:sz w:val="15"/>
          <w:szCs w:val="15"/>
          <w:color w:val="auto"/>
        </w:rPr>
      </w:pPr>
    </w:p>
    <w:p>
      <w:pPr>
        <w:ind w:right="20" w:firstLine="1091"/>
        <w:spacing w:after="0" w:line="258" w:lineRule="auto"/>
        <w:tabs>
          <w:tab w:leader="none" w:pos="1306"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Delivery of Prospectus; Subsequent Changes</w:t>
      </w:r>
      <w:r>
        <w:rPr>
          <w:rFonts w:ascii="Times New Roman" w:cs="Times New Roman" w:eastAsia="Times New Roman" w:hAnsi="Times New Roman"/>
          <w:sz w:val="15"/>
          <w:szCs w:val="15"/>
          <w:color w:val="auto"/>
        </w:rPr>
        <w:t xml:space="preserve">. During any period in which a Prospectus relating to the Placement Shares is required to be delivered by the Agents under the Securities Act with respect to the offer and sale of the Placement Shares, (including in circumstances where such requirement may be satisfied pursuant to Rule 172 under the Securities Act or similar rule), the Company will use commercially reasonable efforts to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commercially reasonable efforts to comply with the provisions of and make all requisite filings with the Commission pursuant to said Rule 430B and to notify the Agents promptly of all such filings;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Company shall not be required to furnish any document to the Agents to the extent such document is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w:t>
      </w:r>
    </w:p>
    <w:p>
      <w:pPr>
        <w:spacing w:after="0" w:line="156" w:lineRule="exact"/>
        <w:rPr>
          <w:rFonts w:ascii="Times New Roman" w:cs="Times New Roman" w:eastAsia="Times New Roman" w:hAnsi="Times New Roman"/>
          <w:sz w:val="15"/>
          <w:szCs w:val="15"/>
          <w:color w:val="auto"/>
        </w:rPr>
      </w:pPr>
    </w:p>
    <w:p>
      <w:pPr>
        <w:ind w:right="340" w:firstLine="1091"/>
        <w:spacing w:after="0" w:line="290" w:lineRule="auto"/>
        <w:tabs>
          <w:tab w:leader="none" w:pos="1315"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Listing of Placement Shares</w:t>
      </w:r>
      <w:r>
        <w:rPr>
          <w:rFonts w:ascii="Times New Roman" w:cs="Times New Roman" w:eastAsia="Times New Roman" w:hAnsi="Times New Roman"/>
          <w:sz w:val="15"/>
          <w:szCs w:val="15"/>
          <w:color w:val="auto"/>
        </w:rPr>
        <w:t>. Prior to the date of the first Placement Notice, the Company will use its commercially reasonable efforts to cause the Placement Shares to be listed on the Exchange.</w:t>
      </w:r>
    </w:p>
    <w:p>
      <w:pPr>
        <w:spacing w:after="0" w:line="132" w:lineRule="exact"/>
        <w:rPr>
          <w:rFonts w:ascii="Times New Roman" w:cs="Times New Roman" w:eastAsia="Times New Roman" w:hAnsi="Times New Roman"/>
          <w:sz w:val="15"/>
          <w:szCs w:val="15"/>
          <w:color w:val="auto"/>
        </w:rPr>
      </w:pPr>
    </w:p>
    <w:p>
      <w:pPr>
        <w:ind w:right="80" w:firstLine="1091"/>
        <w:spacing w:after="0" w:line="260" w:lineRule="auto"/>
        <w:tabs>
          <w:tab w:leader="none" w:pos="1306"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Delivery of Registration Statement and Prospectus</w:t>
      </w:r>
      <w:r>
        <w:rPr>
          <w:rFonts w:ascii="Times New Roman" w:cs="Times New Roman" w:eastAsia="Times New Roman" w:hAnsi="Times New Roman"/>
          <w:sz w:val="15"/>
          <w:szCs w:val="15"/>
          <w:color w:val="auto"/>
        </w:rPr>
        <w:t xml:space="preserve">. The Company will furnish to the Agents and their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Company shall not be required to furnish any document (other than the Prospectus) to the Agents to the extent such document is available on EDGAR.</w:t>
      </w:r>
    </w:p>
    <w:p>
      <w:pPr>
        <w:spacing w:after="0" w:line="157" w:lineRule="exact"/>
        <w:rPr>
          <w:rFonts w:ascii="Times New Roman" w:cs="Times New Roman" w:eastAsia="Times New Roman" w:hAnsi="Times New Roman"/>
          <w:sz w:val="15"/>
          <w:szCs w:val="15"/>
          <w:color w:val="auto"/>
        </w:rPr>
      </w:pPr>
    </w:p>
    <w:p>
      <w:pPr>
        <w:ind w:firstLine="1091"/>
        <w:spacing w:after="0" w:line="272" w:lineRule="auto"/>
        <w:tabs>
          <w:tab w:leader="none" w:pos="1289"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Earnings Statement</w:t>
      </w:r>
      <w:r>
        <w:rPr>
          <w:rFonts w:ascii="Times New Roman" w:cs="Times New Roman" w:eastAsia="Times New Roman" w:hAnsi="Times New Roman"/>
          <w:sz w:val="15"/>
          <w:szCs w:val="15"/>
          <w:color w:val="auto"/>
        </w:rPr>
        <w:t>. To the extent not otherwise available on EDGAR, the Company will make generally available to its security holders and the Agents as soon as practicable, but in any event not later than 15 months after the end of the Company’s current fiscal quarter, an earnings statement covering a 12-month period that satisfies the provisions of Section 11(a) and Rule 158 of the Securities Act.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79" w:name="page80"/>
    <w:bookmarkEnd w:id="79"/>
    <w:p>
      <w:pPr>
        <w:ind w:left="1300" w:hanging="209"/>
        <w:spacing w:after="0"/>
        <w:tabs>
          <w:tab w:leader="none" w:pos="130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Use of Proceeds</w:t>
      </w:r>
      <w:r>
        <w:rPr>
          <w:rFonts w:ascii="Times New Roman" w:cs="Times New Roman" w:eastAsia="Times New Roman" w:hAnsi="Times New Roman"/>
          <w:sz w:val="15"/>
          <w:szCs w:val="15"/>
          <w:color w:val="auto"/>
        </w:rPr>
        <w:t>. The Company will use the Net Proceeds as described in the Prospectus in the section entitled “Use of Proceeds.”</w:t>
      </w:r>
    </w:p>
    <w:p>
      <w:pPr>
        <w:spacing w:after="0" w:line="193" w:lineRule="exact"/>
        <w:rPr>
          <w:rFonts w:ascii="Times New Roman" w:cs="Times New Roman" w:eastAsia="Times New Roman" w:hAnsi="Times New Roman"/>
          <w:sz w:val="15"/>
          <w:szCs w:val="15"/>
          <w:color w:val="auto"/>
        </w:rPr>
      </w:pPr>
    </w:p>
    <w:p>
      <w:pPr>
        <w:ind w:right="80" w:firstLine="1091"/>
        <w:spacing w:after="0" w:line="227" w:lineRule="auto"/>
        <w:tabs>
          <w:tab w:leader="none" w:pos="1315"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of Other Sales</w:t>
      </w:r>
      <w:r>
        <w:rPr>
          <w:rFonts w:ascii="Times New Roman" w:cs="Times New Roman" w:eastAsia="Times New Roman" w:hAnsi="Times New Roman"/>
          <w:sz w:val="15"/>
          <w:szCs w:val="15"/>
          <w:color w:val="auto"/>
        </w:rPr>
        <w:t>. Without the prior written consent of the Designated Agent, the Company will not, directly or indirectly, offer to sell, sell, contract to sell, grant any option to sell or otherwise dispose of any Common Stock (other than the Placement Shares offered pursuant to this Agreement) or securities convertible into or exchangeable or exercisable for Common Stock, warrants or any rights to purchase or acquire, Common Stock during the period beginning on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5"/>
          <w:szCs w:val="15"/>
          <w:color w:val="auto"/>
        </w:rPr>
        <w:t>) Trading Day immediately prior to the date</w:t>
      </w:r>
    </w:p>
    <w:p>
      <w:pPr>
        <w:spacing w:after="0" w:line="1"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5"/>
          <w:szCs w:val="15"/>
          <w:color w:val="auto"/>
        </w:rPr>
        <w:t>on which any Placement Notice is delivered to Agents hereunder and ending on the third (3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15"/>
          <w:szCs w:val="15"/>
          <w:color w:val="auto"/>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equity line of credit, or other continuous equity transaction offer to sell, sell, contract to sell, grant any option to sell or otherwise dispose of any Common Stock (other than the Placement Shares offered pursuant to this Agreement) or securities convertible into</w:t>
      </w:r>
    </w:p>
    <w:p>
      <w:pPr>
        <w:spacing w:after="0" w:line="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5"/>
          <w:szCs w:val="15"/>
          <w:color w:val="auto"/>
        </w:rPr>
        <w:t>or exchangeable or exercisable for Common Stock, warrants or any rights to purchase or acquire, Common Stock prior to the thirtieth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day immediately following the termination of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such restrictions and such consent will not be required in connection with the Company’s issuance or sale of (i) Common Stock, options to purchase Common Stock, other equity awards to acquire Common Stock or Common Stock issuable upon the exercise of options or the exercise, vesting or settlement of other equity awards,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or hereafter implemented, and disclosed in filings by the Company available on EDGAR or otherwise in writing to the Designated Agent and (iii) Common Stock or securities convertible into or exchangeable or exercisable for shares of Common Stock as consideration for mergers, acquisitions, other business combinations or strategic alliances occurring after the date of this Agreement which are not issued for capital raising purposes. Subject to the restrictions and obligations set forth herein, the Company shall otherwise not be restricted from filing, or require the consent of the Agents to file, a registration statement under the Securities Act.</w:t>
      </w:r>
    </w:p>
    <w:p>
      <w:pPr>
        <w:spacing w:after="0" w:line="170" w:lineRule="exact"/>
        <w:rPr>
          <w:sz w:val="20"/>
          <w:szCs w:val="20"/>
          <w:color w:val="auto"/>
        </w:rPr>
      </w:pPr>
    </w:p>
    <w:p>
      <w:pPr>
        <w:jc w:val="both"/>
        <w:ind w:right="240" w:firstLine="1091"/>
        <w:spacing w:after="0" w:line="272" w:lineRule="auto"/>
        <w:tabs>
          <w:tab w:leader="none" w:pos="1281"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 of Circumstances</w:t>
      </w:r>
      <w:r>
        <w:rPr>
          <w:rFonts w:ascii="Times New Roman" w:cs="Times New Roman" w:eastAsia="Times New Roman" w:hAnsi="Times New Roman"/>
          <w:sz w:val="15"/>
          <w:szCs w:val="15"/>
          <w:color w:val="auto"/>
        </w:rPr>
        <w:t>. The Company will, at any time during a fiscal quarter in which the Company intends to tender a Placement Notice or sell Placement Shares, or otherwise during the pendency of a Placement Notice, advise the Agents promptly after it shall have received notice or obtained knowledge thereof, of any information or fact that would alter or affect in any material respect any opinion, certificate, letter or other document provided or required to be provided to the Agents pursuant to this Agreement.</w:t>
      </w:r>
    </w:p>
    <w:p>
      <w:pPr>
        <w:spacing w:after="0" w:line="146" w:lineRule="exact"/>
        <w:rPr>
          <w:rFonts w:ascii="Times New Roman" w:cs="Times New Roman" w:eastAsia="Times New Roman" w:hAnsi="Times New Roman"/>
          <w:sz w:val="15"/>
          <w:szCs w:val="15"/>
          <w:color w:val="auto"/>
        </w:rPr>
      </w:pPr>
    </w:p>
    <w:p>
      <w:pPr>
        <w:ind w:right="40" w:firstLine="1091"/>
        <w:spacing w:after="0" w:line="272" w:lineRule="auto"/>
        <w:tabs>
          <w:tab w:leader="none" w:pos="1281"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Due Diligence Cooperation</w:t>
      </w:r>
      <w:r>
        <w:rPr>
          <w:rFonts w:ascii="Times New Roman" w:cs="Times New Roman" w:eastAsia="Times New Roman" w:hAnsi="Times New Roman"/>
          <w:sz w:val="15"/>
          <w:szCs w:val="15"/>
          <w:color w:val="auto"/>
        </w:rPr>
        <w:t>. During the term of this Agreement, the Company will cooperate with any reasonable due diligence review conducted by the Agents or their respective representatives in connection with the transactions contemplated hereby, including, without limitation, providing information and making available documents and senior corporate officers, during regular business hours and at the Company’s principal offices or via remote digital access, as the Agents may reasonably request.</w:t>
      </w:r>
    </w:p>
    <w:p>
      <w:pPr>
        <w:spacing w:after="0" w:line="146" w:lineRule="exact"/>
        <w:rPr>
          <w:rFonts w:ascii="Times New Roman" w:cs="Times New Roman" w:eastAsia="Times New Roman" w:hAnsi="Times New Roman"/>
          <w:sz w:val="15"/>
          <w:szCs w:val="15"/>
          <w:color w:val="auto"/>
        </w:rPr>
      </w:pPr>
    </w:p>
    <w:p>
      <w:pPr>
        <w:ind w:firstLine="1091"/>
        <w:spacing w:after="0" w:line="258" w:lineRule="auto"/>
        <w:tabs>
          <w:tab w:leader="none" w:pos="1315"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Required Filings Relating to Placement of Placement Shares</w:t>
      </w:r>
      <w:r>
        <w:rPr>
          <w:rFonts w:ascii="Times New Roman" w:cs="Times New Roman" w:eastAsia="Times New Roman" w:hAnsi="Times New Roman"/>
          <w:sz w:val="15"/>
          <w:szCs w:val="15"/>
          <w:color w:val="auto"/>
        </w:rPr>
        <w:t>. The Company shall disclose, in its quarterly reports on Form 10-Q and in its annual report on Form 10-K to be filed by the Company with the Commission from time to time, the number of the Placement Shares sold through the Agents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The Company agrees that on such dates as the Securities Act shall require with respect to the Placement Shares, the Company will (i) file a prospectus supplement with the Commission under the applicable paragraph of Rule 424(b) under the Securities Act (each and every filing date under Rule 424(b), a “</w:t>
      </w:r>
      <w:r>
        <w:rPr>
          <w:rFonts w:ascii="Times New Roman" w:cs="Times New Roman" w:eastAsia="Times New Roman" w:hAnsi="Times New Roman"/>
          <w:sz w:val="15"/>
          <w:szCs w:val="15"/>
          <w:b w:val="1"/>
          <w:bCs w:val="1"/>
          <w:u w:val="single" w:color="auto"/>
          <w:color w:val="auto"/>
        </w:rPr>
        <w:t>Filing Date</w:t>
      </w:r>
      <w:r>
        <w:rPr>
          <w:rFonts w:ascii="Times New Roman" w:cs="Times New Roman" w:eastAsia="Times New Roman" w:hAnsi="Times New Roman"/>
          <w:sz w:val="15"/>
          <w:szCs w:val="15"/>
          <w:color w:val="auto"/>
        </w:rPr>
        <w:t>”), which prospectus supplement will set forth, within the relevant period, the amount of Placement Shares sold through the Agents, the Net Proceeds to the Company and the compensation payable by the Company to the Agents with respect to such Placement Shares, and (ii) deliver such number of copies of each such prospectus supplement to each exchange or market on which such sales were effected as may be required by the rules or regulations of such exchange or market</w:t>
      </w:r>
      <w:r>
        <w:rPr>
          <w:rFonts w:ascii="Times New Roman" w:cs="Times New Roman" w:eastAsia="Times New Roman" w:hAnsi="Times New Roman"/>
          <w:sz w:val="15"/>
          <w:szCs w:val="15"/>
          <w:i w:val="1"/>
          <w:iCs w:val="1"/>
          <w:color w:val="auto"/>
        </w:rPr>
        <w:t>; provided, that,</w:t>
      </w:r>
      <w:r>
        <w:rPr>
          <w:rFonts w:ascii="Times New Roman" w:cs="Times New Roman" w:eastAsia="Times New Roman" w:hAnsi="Times New Roman"/>
          <w:sz w:val="15"/>
          <w:szCs w:val="15"/>
          <w:color w:val="auto"/>
        </w:rPr>
        <w:t xml:space="preserve"> unless a prospectus supplement containing such information is required to be filed under the Securities Act, the requirement of this Section 7(k) may be satisfied by the Company’s inclusion in the Company’s Form 10-K or Form 10-Q, as applicable, of the number or amount of Placement Shares sold through the Agents, the Net Proceeds to the Company and the compensation payable by the Company to the Agents with respect to such Placement Shares during the relevant period.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80" w:name="page81"/>
    <w:bookmarkEnd w:id="80"/>
    <w:p>
      <w:pPr>
        <w:ind w:left="1280" w:hanging="189"/>
        <w:spacing w:after="0"/>
        <w:tabs>
          <w:tab w:leader="none" w:pos="1280" w:val="left"/>
        </w:tabs>
        <w:numPr>
          <w:ilvl w:val="1"/>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 Dates; Certificate</w:t>
      </w:r>
      <w:r>
        <w:rPr>
          <w:rFonts w:ascii="Times New Roman" w:cs="Times New Roman" w:eastAsia="Times New Roman" w:hAnsi="Times New Roman"/>
          <w:sz w:val="15"/>
          <w:szCs w:val="15"/>
          <w:color w:val="auto"/>
        </w:rPr>
        <w:t>. (1) On or prior to the date of the first Placement Notice and (2) each time the Company:</w:t>
      </w:r>
    </w:p>
    <w:p>
      <w:pPr>
        <w:spacing w:after="0" w:line="193" w:lineRule="exact"/>
        <w:rPr>
          <w:rFonts w:ascii="Times New Roman" w:cs="Times New Roman" w:eastAsia="Times New Roman" w:hAnsi="Times New Roman"/>
          <w:sz w:val="15"/>
          <w:szCs w:val="15"/>
          <w:color w:val="auto"/>
        </w:rPr>
      </w:pPr>
    </w:p>
    <w:p>
      <w:pPr>
        <w:jc w:val="both"/>
        <w:ind w:left="540" w:firstLine="1"/>
        <w:spacing w:after="0" w:line="272" w:lineRule="auto"/>
        <w:tabs>
          <w:tab w:leader="none" w:pos="724"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46" w:lineRule="exact"/>
        <w:rPr>
          <w:rFonts w:ascii="Times New Roman" w:cs="Times New Roman" w:eastAsia="Times New Roman" w:hAnsi="Times New Roman"/>
          <w:sz w:val="15"/>
          <w:szCs w:val="15"/>
          <w:color w:val="auto"/>
        </w:rPr>
      </w:pPr>
    </w:p>
    <w:p>
      <w:pPr>
        <w:ind w:left="540" w:firstLine="1"/>
        <w:spacing w:after="0" w:line="290" w:lineRule="auto"/>
        <w:tabs>
          <w:tab w:leader="none" w:pos="772"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files an annual report on Form 10-K under the Exchange Act (including any Form 10-K/A containing amended audited financial information or a material amendment to the previously filed Form 10-K);</w:t>
      </w:r>
    </w:p>
    <w:p>
      <w:pPr>
        <w:spacing w:after="0" w:line="132" w:lineRule="exact"/>
        <w:rPr>
          <w:rFonts w:ascii="Times New Roman" w:cs="Times New Roman" w:eastAsia="Times New Roman" w:hAnsi="Times New Roman"/>
          <w:sz w:val="15"/>
          <w:szCs w:val="15"/>
          <w:color w:val="auto"/>
        </w:rPr>
      </w:pPr>
    </w:p>
    <w:p>
      <w:pPr>
        <w:ind w:left="800" w:hanging="259"/>
        <w:spacing w:after="0"/>
        <w:tabs>
          <w:tab w:leader="none" w:pos="80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files its quarterly reports on Form 10-Q under the Exchange Act; or</w:t>
      </w:r>
    </w:p>
    <w:p>
      <w:pPr>
        <w:spacing w:after="0" w:line="193" w:lineRule="exact"/>
        <w:rPr>
          <w:rFonts w:ascii="Times New Roman" w:cs="Times New Roman" w:eastAsia="Times New Roman" w:hAnsi="Times New Roman"/>
          <w:sz w:val="15"/>
          <w:szCs w:val="15"/>
          <w:color w:val="auto"/>
        </w:rPr>
      </w:pPr>
    </w:p>
    <w:p>
      <w:pPr>
        <w:jc w:val="both"/>
        <w:ind w:left="540" w:firstLine="1"/>
        <w:spacing w:after="0" w:line="263" w:lineRule="auto"/>
        <w:tabs>
          <w:tab w:leader="none" w:pos="811"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files a current report on Form 8-K containing (x)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or (y) disclosing any material transaction requiring the filing of historical or pro forma financial statements under Item 9.01 of Form 8-K and subject to the guidance set forth in Section 2050.3 of the Financial Reporting Manual of the Commission (each date (x) of the filing of one or more of the documents referred to in clauses (i) through (iv) and (y) on which the Agent otherwise reasonably requests, shall be a “</w:t>
      </w:r>
      <w:r>
        <w:rPr>
          <w:rFonts w:ascii="Times New Roman" w:cs="Times New Roman" w:eastAsia="Times New Roman" w:hAnsi="Times New Roman"/>
          <w:sz w:val="15"/>
          <w:szCs w:val="15"/>
          <w:b w:val="1"/>
          <w:bCs w:val="1"/>
          <w:u w:val="single" w:color="auto"/>
          <w:color w:val="auto"/>
        </w:rPr>
        <w:t>Representation Date</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5"/>
          <w:szCs w:val="15"/>
          <w:color w:val="auto"/>
        </w:rPr>
        <w:t xml:space="preserve">the Company shall furnish the Agents (but in the case of clause (iv) above only if the Agents reasonably determine that the information contained in such Form 8-K is material and informs the Company of such determination in writing) with a certificate dated the Representation Date, in the form and substance satisfactory to the Agents and their counsel, substantially similar to the form previously provided to the Agents and their counsel, modified, as necessary, to relate to the Registration Statement and the Prospectus as amended or supplemented. The requirement to provide a certificate under this </w:t>
      </w:r>
      <w:r>
        <w:rPr>
          <w:rFonts w:ascii="Times New Roman" w:cs="Times New Roman" w:eastAsia="Times New Roman" w:hAnsi="Times New Roman"/>
          <w:sz w:val="15"/>
          <w:szCs w:val="15"/>
          <w:u w:val="single" w:color="auto"/>
          <w:color w:val="auto"/>
        </w:rPr>
        <w:t>Section 7(l)</w:t>
      </w:r>
      <w:r>
        <w:rPr>
          <w:rFonts w:ascii="Times New Roman" w:cs="Times New Roman" w:eastAsia="Times New Roman" w:hAnsi="Times New Roman"/>
          <w:sz w:val="15"/>
          <w:szCs w:val="15"/>
          <w:color w:val="auto"/>
        </w:rPr>
        <w:t xml:space="preserve"> shall be automatically waived for any Representation Date occurring (1) at a time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or (2) at a time at which no Placement Notice is pending, which waiver shall continue until the date the Company delivers a Placement Notice hereunder (which for such calendar quarter shall be considered a Representation Date). Notwithstanding the foregoing, if the Company subsequently decides to sell Placement Shares following a Representation Date when a Suspension was in effect or no Placement Notice was pending and did not provide the Agents with a certificate under this </w:t>
      </w:r>
      <w:r>
        <w:rPr>
          <w:rFonts w:ascii="Times New Roman" w:cs="Times New Roman" w:eastAsia="Times New Roman" w:hAnsi="Times New Roman"/>
          <w:sz w:val="15"/>
          <w:szCs w:val="15"/>
          <w:u w:val="single" w:color="auto"/>
          <w:color w:val="auto"/>
        </w:rPr>
        <w:t>Section 7(l)</w:t>
      </w:r>
      <w:r>
        <w:rPr>
          <w:rFonts w:ascii="Times New Roman" w:cs="Times New Roman" w:eastAsia="Times New Roman" w:hAnsi="Times New Roman"/>
          <w:sz w:val="15"/>
          <w:szCs w:val="15"/>
          <w:color w:val="auto"/>
        </w:rPr>
        <w:t xml:space="preserve">, then before the Company delivers the instructions for the sale of Placement Shares or the Agents sell any Placement Shares pursuant to such instructions, the Company shall provide the Agents with a certificate in conformity with this </w:t>
      </w:r>
      <w:r>
        <w:rPr>
          <w:rFonts w:ascii="Times New Roman" w:cs="Times New Roman" w:eastAsia="Times New Roman" w:hAnsi="Times New Roman"/>
          <w:sz w:val="15"/>
          <w:szCs w:val="15"/>
          <w:u w:val="single" w:color="auto"/>
          <w:color w:val="auto"/>
        </w:rPr>
        <w:t>Section 7(l)</w:t>
      </w:r>
      <w:r>
        <w:rPr>
          <w:rFonts w:ascii="Times New Roman" w:cs="Times New Roman" w:eastAsia="Times New Roman" w:hAnsi="Times New Roman"/>
          <w:sz w:val="15"/>
          <w:szCs w:val="15"/>
          <w:color w:val="auto"/>
        </w:rPr>
        <w:t xml:space="preserve"> dated as of the date that the instructions for the sale of Placement Shares are issued.</w:t>
      </w:r>
    </w:p>
    <w:p>
      <w:pPr>
        <w:spacing w:after="0" w:line="158" w:lineRule="exact"/>
        <w:rPr>
          <w:sz w:val="20"/>
          <w:szCs w:val="20"/>
          <w:color w:val="auto"/>
        </w:rPr>
      </w:pPr>
    </w:p>
    <w:p>
      <w:pPr>
        <w:ind w:right="40" w:firstLine="1091"/>
        <w:spacing w:after="0" w:line="259" w:lineRule="auto"/>
        <w:tabs>
          <w:tab w:leader="none" w:pos="1357"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Legal Opinion</w:t>
      </w:r>
      <w:r>
        <w:rPr>
          <w:rFonts w:ascii="Times New Roman" w:cs="Times New Roman" w:eastAsia="Times New Roman" w:hAnsi="Times New Roman"/>
          <w:sz w:val="15"/>
          <w:szCs w:val="15"/>
          <w:color w:val="auto"/>
        </w:rPr>
        <w:t xml:space="preserve">. (1) On or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5"/>
          <w:szCs w:val="15"/>
          <w:u w:val="single" w:color="auto"/>
          <w:color w:val="auto"/>
        </w:rPr>
        <w:t>Section 7(l)</w:t>
      </w:r>
      <w:r>
        <w:rPr>
          <w:rFonts w:ascii="Times New Roman" w:cs="Times New Roman" w:eastAsia="Times New Roman" w:hAnsi="Times New Roman"/>
          <w:sz w:val="15"/>
          <w:szCs w:val="15"/>
          <w:color w:val="auto"/>
        </w:rPr>
        <w:t xml:space="preserve"> for which no waiver is applicable and excluding the date of this Agreement, the Company shall cause to be furnished to the Agents a written opinion and negative assurance letter of Orrick, Herrington &amp; Sutcliffe LLP (“</w:t>
      </w:r>
      <w:r>
        <w:rPr>
          <w:rFonts w:ascii="Times New Roman" w:cs="Times New Roman" w:eastAsia="Times New Roman" w:hAnsi="Times New Roman"/>
          <w:sz w:val="15"/>
          <w:szCs w:val="15"/>
          <w:b w:val="1"/>
          <w:bCs w:val="1"/>
          <w:u w:val="single" w:color="auto"/>
          <w:color w:val="auto"/>
        </w:rPr>
        <w:t>Company Counsel</w:t>
      </w:r>
      <w:r>
        <w:rPr>
          <w:rFonts w:ascii="Times New Roman" w:cs="Times New Roman" w:eastAsia="Times New Roman" w:hAnsi="Times New Roman"/>
          <w:sz w:val="15"/>
          <w:szCs w:val="15"/>
          <w:color w:val="auto"/>
        </w:rPr>
        <w:t xml:space="preserve">”), or other counsel reasonably satisfactory to the Agents, in form and substance satisfactory to the Agents and their counsel, substantially similar to the form previously provided to the Agents and their counsel, modified, as necessary, to relate to the Registration Statement and the Prospectus as then amended or supplemented; </w:t>
      </w:r>
      <w:r>
        <w:rPr>
          <w:rFonts w:ascii="Times New Roman" w:cs="Times New Roman" w:eastAsia="Times New Roman" w:hAnsi="Times New Roman"/>
          <w:sz w:val="15"/>
          <w:szCs w:val="15"/>
          <w:i w:val="1"/>
          <w:iCs w:val="1"/>
          <w:color w:val="auto"/>
        </w:rPr>
        <w:t>provided, further</w:t>
      </w:r>
      <w:r>
        <w:rPr>
          <w:rFonts w:ascii="Times New Roman" w:cs="Times New Roman" w:eastAsia="Times New Roman" w:hAnsi="Times New Roman"/>
          <w:sz w:val="15"/>
          <w:szCs w:val="15"/>
          <w:color w:val="auto"/>
        </w:rPr>
        <w:t>, that in lieu of such opinions and negative assurance letters for subsequent periodic filings under the Exchange Act, counsel may furnish the Agents with a letter (a “</w:t>
      </w:r>
      <w:r>
        <w:rPr>
          <w:rFonts w:ascii="Times New Roman" w:cs="Times New Roman" w:eastAsia="Times New Roman" w:hAnsi="Times New Roman"/>
          <w:sz w:val="15"/>
          <w:szCs w:val="15"/>
          <w:b w:val="1"/>
          <w:bCs w:val="1"/>
          <w:u w:val="single" w:color="auto"/>
          <w:color w:val="auto"/>
        </w:rPr>
        <w:t>Reliance Letter</w:t>
      </w:r>
      <w:r>
        <w:rPr>
          <w:rFonts w:ascii="Times New Roman" w:cs="Times New Roman" w:eastAsia="Times New Roman" w:hAnsi="Times New Roman"/>
          <w:sz w:val="15"/>
          <w:szCs w:val="15"/>
          <w:color w:val="auto"/>
        </w:rPr>
        <w:t xml:space="preserve">”) to the effect that the Agents may rely on a prior opinion and negative assurance letter delivered under this </w:t>
      </w:r>
      <w:r>
        <w:rPr>
          <w:rFonts w:ascii="Times New Roman" w:cs="Times New Roman" w:eastAsia="Times New Roman" w:hAnsi="Times New Roman"/>
          <w:sz w:val="15"/>
          <w:szCs w:val="15"/>
          <w:u w:val="single" w:color="auto"/>
          <w:color w:val="auto"/>
        </w:rPr>
        <w:t>Section 7(m)</w:t>
      </w:r>
      <w:r>
        <w:rPr>
          <w:rFonts w:ascii="Times New Roman" w:cs="Times New Roman" w:eastAsia="Times New Roman" w:hAnsi="Times New Roman"/>
          <w:sz w:val="15"/>
          <w:szCs w:val="15"/>
          <w:color w:val="auto"/>
        </w:rPr>
        <w:t xml:space="preserve"> to the same extent as if it were dated the date of such letter (except that statements in such prior opinion and negative assurance letter shall be deemed to relate to the Registration Statement and the Prospectus as amended or supplemented as of the date of the Reliance Letter).</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81" w:name="page82"/>
    <w:bookmarkEnd w:id="81"/>
    <w:p>
      <w:pPr>
        <w:ind w:left="8" w:right="20" w:firstLine="1091"/>
        <w:spacing w:after="0" w:line="257" w:lineRule="auto"/>
        <w:tabs>
          <w:tab w:leader="none" w:pos="1323" w:val="left"/>
        </w:tabs>
        <w:numPr>
          <w:ilvl w:val="1"/>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Comfort Letter(s)</w:t>
      </w:r>
      <w:r>
        <w:rPr>
          <w:rFonts w:ascii="Times New Roman" w:cs="Times New Roman" w:eastAsia="Times New Roman" w:hAnsi="Times New Roman"/>
          <w:sz w:val="15"/>
          <w:szCs w:val="15"/>
          <w:color w:val="auto"/>
        </w:rPr>
        <w:t xml:space="preserve">. (1) On or prior to the date of the first Placement Notice and (2) within five (5) Trading Days of each Representation Date with respect to which the Company is obligated to deliver a certificate pursuant to </w:t>
      </w:r>
      <w:r>
        <w:rPr>
          <w:rFonts w:ascii="Times New Roman" w:cs="Times New Roman" w:eastAsia="Times New Roman" w:hAnsi="Times New Roman"/>
          <w:sz w:val="15"/>
          <w:szCs w:val="15"/>
          <w:u w:val="single" w:color="auto"/>
          <w:color w:val="auto"/>
        </w:rPr>
        <w:t>Section 7(l)</w:t>
      </w:r>
      <w:r>
        <w:rPr>
          <w:rFonts w:ascii="Times New Roman" w:cs="Times New Roman" w:eastAsia="Times New Roman" w:hAnsi="Times New Roman"/>
          <w:sz w:val="15"/>
          <w:szCs w:val="15"/>
          <w:color w:val="auto"/>
        </w:rPr>
        <w:t xml:space="preserve"> for which no waiver is applicable and excluding the date of this Agreement, the Company shall cause its independent registered public accounting firms (and any other independent accountants whose report is included in or incorporated by reference into the Registration Statement or the Prospectus), and, if reasonably requested by the Agents, the Diligent Auditor or any other independent registered public accounting firms of any company acquired by the Company (such independent registered public accounting firms, together with the Diligent Auditor, the “</w:t>
      </w:r>
      <w:r>
        <w:rPr>
          <w:rFonts w:ascii="Times New Roman" w:cs="Times New Roman" w:eastAsia="Times New Roman" w:hAnsi="Times New Roman"/>
          <w:sz w:val="15"/>
          <w:szCs w:val="15"/>
          <w:b w:val="1"/>
          <w:bCs w:val="1"/>
          <w:u w:val="single" w:color="auto"/>
          <w:color w:val="auto"/>
        </w:rPr>
        <w:t>Acquired Company Auditor</w:t>
      </w:r>
      <w:r>
        <w:rPr>
          <w:rFonts w:ascii="Times New Roman" w:cs="Times New Roman" w:eastAsia="Times New Roman" w:hAnsi="Times New Roman"/>
          <w:sz w:val="15"/>
          <w:szCs w:val="15"/>
          <w:color w:val="auto"/>
        </w:rPr>
        <w:t>”), to furnish the Agents letters (the “</w:t>
      </w:r>
      <w:r>
        <w:rPr>
          <w:rFonts w:ascii="Times New Roman" w:cs="Times New Roman" w:eastAsia="Times New Roman" w:hAnsi="Times New Roman"/>
          <w:sz w:val="15"/>
          <w:szCs w:val="15"/>
          <w:b w:val="1"/>
          <w:bCs w:val="1"/>
          <w:u w:val="single" w:color="auto"/>
          <w:color w:val="auto"/>
        </w:rPr>
        <w:t>Comfort Letters</w:t>
      </w:r>
      <w:r>
        <w:rPr>
          <w:rFonts w:ascii="Times New Roman" w:cs="Times New Roman" w:eastAsia="Times New Roman" w:hAnsi="Times New Roman"/>
          <w:sz w:val="15"/>
          <w:szCs w:val="15"/>
          <w:color w:val="auto"/>
        </w:rPr>
        <w:t xml:space="preserve">”), dated the date the Comfort Letters are delivered, which shall meet the requirements set forth in this </w:t>
      </w:r>
      <w:r>
        <w:rPr>
          <w:rFonts w:ascii="Times New Roman" w:cs="Times New Roman" w:eastAsia="Times New Roman" w:hAnsi="Times New Roman"/>
          <w:sz w:val="15"/>
          <w:szCs w:val="15"/>
          <w:u w:val="single" w:color="auto"/>
          <w:color w:val="auto"/>
        </w:rPr>
        <w:t>Section 7(n)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reasonably requested by the Agents, the Company shall cause Comfort Letters to be furnished to the Agents within ten (10) Trading Days of the date of occurrence of any material transaction or event requiring the filing of a Current Report on Form 8-K containing financial information (including the restatement of the Company’s financial statements). The Comfort Letters from the Company’s independent registered public accounting firms and, if reasonably requested by the Agents, the Acquired Company Auditor, shall be in a form and substance reasonably satisfactory to the Agents,</w:t>
      </w:r>
    </w:p>
    <w:p>
      <w:pPr>
        <w:ind w:left="8" w:hanging="8"/>
        <w:spacing w:after="0" w:line="257" w:lineRule="auto"/>
        <w:tabs>
          <w:tab w:leader="none" w:pos="191"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confirming that (x) with respect to the Company’s independent registered public accounting firms, such independent registered public accounting firms are independent registered public accounting firms within the meaning of the Securities Act and the Public Company Accounting Oversight Board (“</w:t>
      </w:r>
      <w:r>
        <w:rPr>
          <w:rFonts w:ascii="Times New Roman" w:cs="Times New Roman" w:eastAsia="Times New Roman" w:hAnsi="Times New Roman"/>
          <w:sz w:val="15"/>
          <w:szCs w:val="15"/>
          <w:b w:val="1"/>
          <w:bCs w:val="1"/>
          <w:u w:val="single" w:color="auto"/>
          <w:color w:val="auto"/>
        </w:rPr>
        <w:t>PCAOB</w:t>
      </w:r>
      <w:r>
        <w:rPr>
          <w:rFonts w:ascii="Times New Roman" w:cs="Times New Roman" w:eastAsia="Times New Roman" w:hAnsi="Times New Roman"/>
          <w:sz w:val="15"/>
          <w:szCs w:val="15"/>
          <w:color w:val="auto"/>
        </w:rPr>
        <w:t>”) and (y) with respect to the Acquired Company Auditor (if applicable), such Acquired Company Auditor is an independent registered public accounting firm with respect to the company acquired by the Company within the meaning of the Securities Act and the PCAOB or American Institute of Certified Public Accountants (as applicable),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5"/>
          <w:szCs w:val="15"/>
          <w:b w:val="1"/>
          <w:bCs w:val="1"/>
          <w:u w:val="single" w:color="auto"/>
          <w:color w:val="auto"/>
        </w:rPr>
        <w:t>Initial Comfort Letter</w:t>
      </w:r>
      <w:r>
        <w:rPr>
          <w:rFonts w:ascii="Times New Roman" w:cs="Times New Roman" w:eastAsia="Times New Roman" w:hAnsi="Times New Roman"/>
          <w:sz w:val="15"/>
          <w:szCs w:val="15"/>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57" w:lineRule="exact"/>
        <w:rPr>
          <w:rFonts w:ascii="Times New Roman" w:cs="Times New Roman" w:eastAsia="Times New Roman" w:hAnsi="Times New Roman"/>
          <w:sz w:val="15"/>
          <w:szCs w:val="15"/>
          <w:color w:val="auto"/>
        </w:rPr>
      </w:pPr>
    </w:p>
    <w:p>
      <w:pPr>
        <w:ind w:left="8" w:right="40" w:firstLine="1091"/>
        <w:spacing w:after="0" w:line="272" w:lineRule="auto"/>
        <w:tabs>
          <w:tab w:leader="none" w:pos="1323"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Market Activities; Compliance with Regulation M</w:t>
      </w:r>
      <w:r>
        <w:rPr>
          <w:rFonts w:ascii="Times New Roman" w:cs="Times New Roman" w:eastAsia="Times New Roman" w:hAnsi="Times New Roman"/>
          <w:sz w:val="15"/>
          <w:szCs w:val="15"/>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Common Stock or (ii) sell, bid for, or purchase Common Stock in violation of Regulation M, or pay anyone any compensation for soliciting purchases of the Placement Shares other than the Agents.</w:t>
      </w:r>
    </w:p>
    <w:p>
      <w:pPr>
        <w:spacing w:after="0" w:line="146" w:lineRule="exact"/>
        <w:rPr>
          <w:rFonts w:ascii="Times New Roman" w:cs="Times New Roman" w:eastAsia="Times New Roman" w:hAnsi="Times New Roman"/>
          <w:sz w:val="15"/>
          <w:szCs w:val="15"/>
          <w:color w:val="auto"/>
        </w:rPr>
      </w:pPr>
    </w:p>
    <w:p>
      <w:pPr>
        <w:ind w:left="8" w:right="180" w:firstLine="1091"/>
        <w:spacing w:after="0" w:line="290" w:lineRule="auto"/>
        <w:tabs>
          <w:tab w:leader="none" w:pos="1323"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Company Act</w:t>
      </w:r>
      <w:r>
        <w:rPr>
          <w:rFonts w:ascii="Times New Roman" w:cs="Times New Roman" w:eastAsia="Times New Roman" w:hAnsi="Times New Roman"/>
          <w:sz w:val="15"/>
          <w:szCs w:val="15"/>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32" w:lineRule="exact"/>
        <w:rPr>
          <w:rFonts w:ascii="Times New Roman" w:cs="Times New Roman" w:eastAsia="Times New Roman" w:hAnsi="Times New Roman"/>
          <w:sz w:val="15"/>
          <w:szCs w:val="15"/>
          <w:color w:val="auto"/>
        </w:rPr>
      </w:pPr>
    </w:p>
    <w:p>
      <w:pPr>
        <w:jc w:val="both"/>
        <w:ind w:left="8" w:firstLine="1091"/>
        <w:spacing w:after="0" w:line="266" w:lineRule="auto"/>
        <w:tabs>
          <w:tab w:leader="none" w:pos="1323"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Offer to Sell</w:t>
      </w:r>
      <w:r>
        <w:rPr>
          <w:rFonts w:ascii="Times New Roman" w:cs="Times New Roman" w:eastAsia="Times New Roman" w:hAnsi="Times New Roman"/>
          <w:sz w:val="15"/>
          <w:szCs w:val="15"/>
          <w:color w:val="auto"/>
        </w:rPr>
        <w:t>. Other than an Issuer Free Writing Prospectus approved in advance by the Company and the Agents in their capacity as agents hereunder, neither the Agents nor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47" w:lineRule="exact"/>
        <w:rPr>
          <w:rFonts w:ascii="Times New Roman" w:cs="Times New Roman" w:eastAsia="Times New Roman" w:hAnsi="Times New Roman"/>
          <w:sz w:val="15"/>
          <w:szCs w:val="15"/>
          <w:color w:val="auto"/>
        </w:rPr>
      </w:pPr>
    </w:p>
    <w:p>
      <w:pPr>
        <w:ind w:left="8" w:firstLine="1091"/>
        <w:spacing w:after="0" w:line="260" w:lineRule="auto"/>
        <w:tabs>
          <w:tab w:leader="none" w:pos="1298"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Blue Sky and Other Qualifications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34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8"/>
          </w:cols>
          <w:pgMar w:left="312" w:top="789" w:right="359" w:bottom="1440" w:gutter="0" w:footer="0" w:header="0"/>
        </w:sectPr>
      </w:pPr>
    </w:p>
    <w:bookmarkStart w:id="82" w:name="page83"/>
    <w:bookmarkEnd w:id="82"/>
    <w:p>
      <w:pPr>
        <w:ind w:left="8" w:right="20" w:firstLine="1091"/>
        <w:spacing w:after="0" w:line="257" w:lineRule="auto"/>
        <w:tabs>
          <w:tab w:leader="none" w:pos="1306" w:val="left"/>
        </w:tabs>
        <w:numPr>
          <w:ilvl w:val="2"/>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Sarbanes-Oxley Act</w:t>
      </w:r>
      <w:r>
        <w:rPr>
          <w:rFonts w:ascii="Times New Roman" w:cs="Times New Roman" w:eastAsia="Times New Roman" w:hAnsi="Times New Roman"/>
          <w:sz w:val="15"/>
          <w:szCs w:val="15"/>
          <w:color w:val="auto"/>
        </w:rPr>
        <w:t>.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provide reasonable assurance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Subsidiaries will use commercially reasonable efforts to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w:t>
      </w:r>
    </w:p>
    <w:p>
      <w:pPr>
        <w:spacing w:after="0" w:line="163" w:lineRule="exact"/>
        <w:rPr>
          <w:rFonts w:ascii="Times New Roman" w:cs="Times New Roman" w:eastAsia="Times New Roman" w:hAnsi="Times New Roman"/>
          <w:sz w:val="15"/>
          <w:szCs w:val="15"/>
          <w:color w:val="auto"/>
        </w:rPr>
      </w:pPr>
    </w:p>
    <w:p>
      <w:pPr>
        <w:ind w:left="8" w:right="40" w:firstLine="1091"/>
        <w:spacing w:after="0" w:line="261" w:lineRule="auto"/>
        <w:tabs>
          <w:tab w:leader="none" w:pos="1289" w:val="left"/>
        </w:tabs>
        <w:numPr>
          <w:ilvl w:val="2"/>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Secretary’s Certificate; Further Documentation</w:t>
      </w:r>
      <w:r>
        <w:rPr>
          <w:rFonts w:ascii="Times New Roman" w:cs="Times New Roman" w:eastAsia="Times New Roman" w:hAnsi="Times New Roman"/>
          <w:sz w:val="15"/>
          <w:szCs w:val="15"/>
          <w:color w:val="auto"/>
        </w:rPr>
        <w:t>. On or prior to the date of the first Placement Notice, the Company shall deliver to the Agents a certificate of the Secretary of the Company and attested to by an executive officer of the Company, dated as of such date, certifying as to (i) the Certificate of Incorporation of the Company, (ii) the By-laws of the Company, (iii) the resolutions of the Board of Directors of the Company and any other authorized committee thereof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Agents such further information, certificates and documents as the Agents may reasonably request.</w:t>
      </w:r>
    </w:p>
    <w:p>
      <w:pPr>
        <w:spacing w:after="0" w:line="156" w:lineRule="exact"/>
        <w:rPr>
          <w:rFonts w:ascii="Times New Roman" w:cs="Times New Roman" w:eastAsia="Times New Roman" w:hAnsi="Times New Roman"/>
          <w:sz w:val="15"/>
          <w:szCs w:val="15"/>
          <w:color w:val="auto"/>
        </w:rPr>
      </w:pPr>
    </w:p>
    <w:p>
      <w:pPr>
        <w:ind w:left="8" w:right="40" w:firstLine="1091"/>
        <w:spacing w:after="0" w:line="290" w:lineRule="auto"/>
        <w:tabs>
          <w:tab w:leader="none" w:pos="1323" w:val="left"/>
        </w:tabs>
        <w:numPr>
          <w:ilvl w:val="2"/>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Emerging Growth Company Status</w:t>
      </w:r>
      <w:r>
        <w:rPr>
          <w:rFonts w:ascii="Times New Roman" w:cs="Times New Roman" w:eastAsia="Times New Roman" w:hAnsi="Times New Roman"/>
          <w:sz w:val="15"/>
          <w:szCs w:val="15"/>
          <w:color w:val="auto"/>
        </w:rPr>
        <w:t>. The Company will promptly notify the Agents if the Company ceases to be an Emerging Growth Company at any time during the term of this Agreement.</w:t>
      </w:r>
    </w:p>
    <w:p>
      <w:pPr>
        <w:spacing w:after="0" w:line="132" w:lineRule="exact"/>
        <w:rPr>
          <w:rFonts w:ascii="Times New Roman" w:cs="Times New Roman" w:eastAsia="Times New Roman" w:hAnsi="Times New Roman"/>
          <w:sz w:val="15"/>
          <w:szCs w:val="15"/>
          <w:color w:val="auto"/>
        </w:rPr>
      </w:pPr>
    </w:p>
    <w:p>
      <w:pPr>
        <w:ind w:left="8" w:right="220" w:firstLine="1091"/>
        <w:spacing w:after="0" w:line="272" w:lineRule="auto"/>
        <w:tabs>
          <w:tab w:leader="none" w:pos="1323" w:val="left"/>
        </w:tabs>
        <w:numPr>
          <w:ilvl w:val="2"/>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Securities Act and Exchange Act Compliance</w:t>
      </w:r>
      <w:r>
        <w:rPr>
          <w:rFonts w:ascii="Times New Roman" w:cs="Times New Roman" w:eastAsia="Times New Roman" w:hAnsi="Times New Roman"/>
          <w:sz w:val="15"/>
          <w:szCs w:val="15"/>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Prospectus.</w:t>
      </w:r>
    </w:p>
    <w:p>
      <w:pPr>
        <w:spacing w:after="0" w:line="146" w:lineRule="exact"/>
        <w:rPr>
          <w:rFonts w:ascii="Times New Roman" w:cs="Times New Roman" w:eastAsia="Times New Roman" w:hAnsi="Times New Roman"/>
          <w:sz w:val="15"/>
          <w:szCs w:val="15"/>
          <w:color w:val="auto"/>
        </w:rPr>
      </w:pPr>
    </w:p>
    <w:p>
      <w:pPr>
        <w:ind w:left="8" w:firstLine="541"/>
        <w:spacing w:after="0" w:line="257" w:lineRule="auto"/>
        <w:tabs>
          <w:tab w:leader="none" w:pos="710" w:val="left"/>
        </w:tabs>
        <w:numPr>
          <w:ilvl w:val="1"/>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Payment of Expenses</w:t>
      </w:r>
      <w:r>
        <w:rPr>
          <w:rFonts w:ascii="Times New Roman" w:cs="Times New Roman" w:eastAsia="Times New Roman" w:hAnsi="Times New Roman"/>
          <w:sz w:val="15"/>
          <w:szCs w:val="15"/>
          <w:color w:val="auto"/>
        </w:rPr>
        <w:t>.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relating to the Placement Shares, in such number as the Agents shall deem reasonably necessary, (ii) the printing and delivery to the Agents of this Agreement and such other documents as may be reasonably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reasonable and documented fees and expenses of Agents including but not limited to the fees and expenses of the counsel to the Agents, payable upon the execution of this Agreement,</w:t>
      </w:r>
    </w:p>
    <w:p>
      <w:pPr>
        <w:spacing w:after="0" w:line="4" w:lineRule="exact"/>
        <w:rPr>
          <w:rFonts w:ascii="Times New Roman" w:cs="Times New Roman" w:eastAsia="Times New Roman" w:hAnsi="Times New Roman"/>
          <w:sz w:val="15"/>
          <w:szCs w:val="15"/>
          <w:color w:val="auto"/>
        </w:rPr>
      </w:pPr>
    </w:p>
    <w:p>
      <w:pPr>
        <w:ind w:left="8" w:right="40" w:hanging="8"/>
        <w:spacing w:after="0" w:line="256" w:lineRule="auto"/>
        <w:tabs>
          <w:tab w:leader="none" w:pos="216"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an amount not to exceed $100,000 in the aggregate in connection with the execution of this Agreement, (b) in an amount not to exceed $25,000 per calendar quarter thereafter payable in connection with each Representation Date (other than Representation Dates involving the issuance of the first Placement Notice and the filing of the Prospectus on or about the date hereof) with respect to which the Company is obligated to deliver a certificate pursuant to </w:t>
      </w:r>
      <w:r>
        <w:rPr>
          <w:rFonts w:ascii="Times New Roman" w:cs="Times New Roman" w:eastAsia="Times New Roman" w:hAnsi="Times New Roman"/>
          <w:sz w:val="15"/>
          <w:szCs w:val="15"/>
          <w:u w:val="single" w:color="auto"/>
          <w:color w:val="auto"/>
        </w:rPr>
        <w:t>Section 7(l)</w:t>
      </w:r>
      <w:r>
        <w:rPr>
          <w:rFonts w:ascii="Times New Roman" w:cs="Times New Roman" w:eastAsia="Times New Roman" w:hAnsi="Times New Roman"/>
          <w:sz w:val="15"/>
          <w:szCs w:val="15"/>
          <w:color w:val="auto"/>
        </w:rPr>
        <w:t xml:space="preserve"> for which no waiver is applicable and excluding the date of this Agreement, and (c) in an amount not to exceed $25,000 for 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 w:cs="Times New Roman" w:eastAsia="Times New Roman" w:hAnsi="Times New Roman"/>
          <w:sz w:val="15"/>
          <w:szCs w:val="15"/>
          <w:u w:val="single" w:color="auto"/>
          <w:color w:val="auto"/>
        </w:rPr>
        <w:t>Section 7(r)</w:t>
      </w:r>
      <w:r>
        <w:rPr>
          <w:rFonts w:ascii="Times New Roman" w:cs="Times New Roman" w:eastAsia="Times New Roman" w:hAnsi="Times New Roman"/>
          <w:sz w:val="15"/>
          <w:szCs w:val="15"/>
          <w:color w:val="auto"/>
        </w:rPr>
        <w:t xml:space="preserve"> hereof, including filing fees, but excluding fees of the Agents’ counsel, (vii) the printing and delivery to the Agents of copies of any Permitted Issuer Free Writing Prospectus and the Prospectus and any amendments or supplements thereto in such number as the Agents shall reasonably deem necessary, (viii) the preparation, printing and delivery to the Agents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 The Company agrees to pay the fees and expenses of counsel to the Agents set forth in clause (v) above by wire transfer of immediately available funds directly to such counsel upon presentation of an invoice containing the requisite payment information prepared by such counsel. For the avoidance of doubt, the payment of fees and expenses pursuant to clause (v) above reflects the aggregate amounts payable to all Agents and not on an individual Agent basis.</w:t>
      </w:r>
    </w:p>
    <w:p>
      <w:pPr>
        <w:spacing w:after="0" w:line="200" w:lineRule="exact"/>
        <w:rPr>
          <w:sz w:val="20"/>
          <w:szCs w:val="20"/>
          <w:color w:val="auto"/>
        </w:rPr>
      </w:pPr>
    </w:p>
    <w:p>
      <w:pPr>
        <w:spacing w:after="0" w:line="3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9" w:right="319" w:bottom="1440" w:gutter="0" w:footer="0" w:header="0"/>
        </w:sectPr>
      </w:pPr>
    </w:p>
    <w:bookmarkStart w:id="83" w:name="page84"/>
    <w:bookmarkEnd w:id="83"/>
    <w:p>
      <w:pPr>
        <w:ind w:left="-20" w:right="80" w:firstLine="541"/>
        <w:spacing w:after="0" w:line="266" w:lineRule="auto"/>
        <w:tabs>
          <w:tab w:leader="none" w:pos="682"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to Agents’ Obligations</w:t>
      </w:r>
      <w:r>
        <w:rPr>
          <w:rFonts w:ascii="Times New Roman" w:cs="Times New Roman" w:eastAsia="Times New Roman" w:hAnsi="Times New Roman"/>
          <w:sz w:val="15"/>
          <w:szCs w:val="15"/>
          <w:color w:val="auto"/>
        </w:rPr>
        <w:t>. The obligations of the Agents hereunder with respect to a Placement will be subject to the continuing accuracy and completeness of the representations and warranties made by the Company herein (other than those representations and warranties made as of a specific date or time), to the due performance by the Company of its obligations hereunder, to the completion by the Agents of a due diligence review satisfactory to it in its reasonable judgment, and to the continuing satisfaction (or waiver by the Agents in their sole discretion) of the following additional conditions:</w:t>
      </w:r>
    </w:p>
    <w:p>
      <w:pPr>
        <w:spacing w:after="0" w:line="151" w:lineRule="exact"/>
        <w:rPr>
          <w:rFonts w:ascii="Times New Roman" w:cs="Times New Roman" w:eastAsia="Times New Roman" w:hAnsi="Times New Roman"/>
          <w:sz w:val="15"/>
          <w:szCs w:val="15"/>
          <w:color w:val="auto"/>
        </w:rPr>
      </w:pPr>
    </w:p>
    <w:p>
      <w:pPr>
        <w:ind w:left="-20" w:right="140" w:firstLine="1091"/>
        <w:spacing w:after="0" w:line="290" w:lineRule="auto"/>
        <w:tabs>
          <w:tab w:leader="none" w:pos="1286"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Statement Effective</w:t>
      </w:r>
      <w:r>
        <w:rPr>
          <w:rFonts w:ascii="Times New Roman" w:cs="Times New Roman" w:eastAsia="Times New Roman" w:hAnsi="Times New Roman"/>
          <w:sz w:val="15"/>
          <w:szCs w:val="15"/>
          <w:color w:val="auto"/>
        </w:rPr>
        <w:t>. The Registration Statement shall have become effective and shall be available for the (i) sale of all Placement Shares issued to the Agents and not yet sold by the Agents and (ii) sale of all Placement Shares contemplated to be issued by any Placement Notice.</w:t>
      </w:r>
    </w:p>
    <w:p>
      <w:pPr>
        <w:spacing w:after="0" w:line="132" w:lineRule="exact"/>
        <w:rPr>
          <w:rFonts w:ascii="Times New Roman" w:cs="Times New Roman" w:eastAsia="Times New Roman" w:hAnsi="Times New Roman"/>
          <w:sz w:val="15"/>
          <w:szCs w:val="15"/>
          <w:color w:val="auto"/>
        </w:rPr>
      </w:pPr>
    </w:p>
    <w:p>
      <w:pPr>
        <w:ind w:left="-20" w:firstLine="1091"/>
        <w:spacing w:after="0" w:line="258" w:lineRule="auto"/>
        <w:tabs>
          <w:tab w:leader="none" w:pos="1295"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Material Notices</w:t>
      </w:r>
      <w:r>
        <w:rPr>
          <w:rFonts w:ascii="Times New Roman" w:cs="Times New Roman" w:eastAsia="Times New Roman" w:hAnsi="Times New Roman"/>
          <w:sz w:val="15"/>
          <w:szCs w:val="15"/>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Shares for sale in any jurisdiction or receipt by the Company of notification of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or that requires the making of any changes in the Registration Statement, the Prospectus or documents so that, in the case of the Registration Statement, it will not contain an untrue statement of a material fact or omit to state any material fact required to be stated therein or necessary to make the statements therein not misleading and, that in the case of the Prospectus, it will not contain an untrue statement of a material fact or omit to state a material fact required to be stated therein or necessary to make the statements therein, in the light of the circumstances under which they were made, not misleading.</w:t>
      </w:r>
    </w:p>
    <w:p>
      <w:pPr>
        <w:spacing w:after="0" w:line="158" w:lineRule="exact"/>
        <w:rPr>
          <w:rFonts w:ascii="Times New Roman" w:cs="Times New Roman" w:eastAsia="Times New Roman" w:hAnsi="Times New Roman"/>
          <w:sz w:val="15"/>
          <w:szCs w:val="15"/>
          <w:color w:val="auto"/>
        </w:rPr>
      </w:pPr>
    </w:p>
    <w:p>
      <w:pPr>
        <w:ind w:left="-20" w:right="60" w:firstLine="1091"/>
        <w:spacing w:after="0" w:line="272" w:lineRule="auto"/>
        <w:tabs>
          <w:tab w:leader="none" w:pos="1286"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Misstatement or Material Omission</w:t>
      </w:r>
      <w:r>
        <w:rPr>
          <w:rFonts w:ascii="Times New Roman" w:cs="Times New Roman" w:eastAsia="Times New Roman" w:hAnsi="Times New Roman"/>
          <w:sz w:val="15"/>
          <w:szCs w:val="15"/>
          <w:color w:val="auto"/>
        </w:rPr>
        <w:t>.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46" w:lineRule="exact"/>
        <w:rPr>
          <w:rFonts w:ascii="Times New Roman" w:cs="Times New Roman" w:eastAsia="Times New Roman" w:hAnsi="Times New Roman"/>
          <w:sz w:val="15"/>
          <w:szCs w:val="15"/>
          <w:color w:val="auto"/>
        </w:rPr>
      </w:pPr>
    </w:p>
    <w:p>
      <w:pPr>
        <w:ind w:left="-20" w:right="100" w:firstLine="1091"/>
        <w:spacing w:after="0" w:line="260" w:lineRule="auto"/>
        <w:tabs>
          <w:tab w:leader="none" w:pos="1295"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Material Changes</w:t>
      </w:r>
      <w:r>
        <w:rPr>
          <w:rFonts w:ascii="Times New Roman" w:cs="Times New Roman" w:eastAsia="Times New Roman" w:hAnsi="Times New Roman"/>
          <w:sz w:val="15"/>
          <w:szCs w:val="15"/>
          <w:color w:val="auto"/>
        </w:rPr>
        <w:t>. Except as contemplated in the Prospectus, or disclosed in the Company’s reports filed with the Commission, there shall not have been any material adverse change in the authorized capital stock of the Company or any Material Adverse Effect or any development that would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wp:posOffset>
            </wp:positionV>
            <wp:extent cx="7153275"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40" w:top="789" w:right="359" w:bottom="1440" w:gutter="0" w:footer="0" w:header="0"/>
        </w:sectPr>
      </w:pPr>
    </w:p>
    <w:bookmarkStart w:id="84" w:name="page85"/>
    <w:bookmarkEnd w:id="84"/>
    <w:p>
      <w:pPr>
        <w:ind w:firstLine="1091"/>
        <w:spacing w:after="0" w:line="290" w:lineRule="auto"/>
        <w:tabs>
          <w:tab w:leader="none" w:pos="1306"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Legal Opinions</w:t>
      </w:r>
      <w:r>
        <w:rPr>
          <w:rFonts w:ascii="Times New Roman" w:cs="Times New Roman" w:eastAsia="Times New Roman" w:hAnsi="Times New Roman"/>
          <w:sz w:val="15"/>
          <w:szCs w:val="15"/>
          <w:color w:val="auto"/>
        </w:rPr>
        <w:t xml:space="preserve">. The Agents shall have received the opinions and negative assurance letters required to be delivered pursuant to </w:t>
      </w:r>
      <w:r>
        <w:rPr>
          <w:rFonts w:ascii="Times New Roman" w:cs="Times New Roman" w:eastAsia="Times New Roman" w:hAnsi="Times New Roman"/>
          <w:sz w:val="15"/>
          <w:szCs w:val="15"/>
          <w:u w:val="single" w:color="auto"/>
          <w:color w:val="auto"/>
        </w:rPr>
        <w:t>Section 7(m)</w:t>
      </w:r>
      <w:r>
        <w:rPr>
          <w:rFonts w:ascii="Times New Roman" w:cs="Times New Roman" w:eastAsia="Times New Roman" w:hAnsi="Times New Roman"/>
          <w:sz w:val="15"/>
          <w:szCs w:val="15"/>
          <w:color w:val="auto"/>
        </w:rPr>
        <w:t xml:space="preserve"> on or before the date on which such delivery of such opinions is required pursuant to </w:t>
      </w:r>
      <w:r>
        <w:rPr>
          <w:rFonts w:ascii="Times New Roman" w:cs="Times New Roman" w:eastAsia="Times New Roman" w:hAnsi="Times New Roman"/>
          <w:sz w:val="15"/>
          <w:szCs w:val="15"/>
          <w:u w:val="single" w:color="auto"/>
          <w:color w:val="auto"/>
        </w:rPr>
        <w:t>Section 7(m)</w:t>
      </w:r>
      <w:r>
        <w:rPr>
          <w:rFonts w:ascii="Times New Roman" w:cs="Times New Roman" w:eastAsia="Times New Roman" w:hAnsi="Times New Roman"/>
          <w:sz w:val="15"/>
          <w:szCs w:val="15"/>
          <w:color w:val="auto"/>
        </w:rPr>
        <w:t>.</w:t>
      </w:r>
    </w:p>
    <w:p>
      <w:pPr>
        <w:spacing w:after="0" w:line="132" w:lineRule="exact"/>
        <w:rPr>
          <w:rFonts w:ascii="Times New Roman" w:cs="Times New Roman" w:eastAsia="Times New Roman" w:hAnsi="Times New Roman"/>
          <w:sz w:val="15"/>
          <w:szCs w:val="15"/>
          <w:color w:val="auto"/>
        </w:rPr>
      </w:pPr>
    </w:p>
    <w:p>
      <w:pPr>
        <w:ind w:right="300" w:firstLine="1091"/>
        <w:spacing w:after="0" w:line="290" w:lineRule="auto"/>
        <w:tabs>
          <w:tab w:leader="none" w:pos="1289"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Comfort Letter(s)</w:t>
      </w:r>
      <w:r>
        <w:rPr>
          <w:rFonts w:ascii="Times New Roman" w:cs="Times New Roman" w:eastAsia="Times New Roman" w:hAnsi="Times New Roman"/>
          <w:sz w:val="15"/>
          <w:szCs w:val="15"/>
          <w:color w:val="auto"/>
        </w:rPr>
        <w:t xml:space="preserve">. The Agents shall have received the Comfort Letter(s) required to be delivered pursuant to </w:t>
      </w:r>
      <w:r>
        <w:rPr>
          <w:rFonts w:ascii="Times New Roman" w:cs="Times New Roman" w:eastAsia="Times New Roman" w:hAnsi="Times New Roman"/>
          <w:sz w:val="15"/>
          <w:szCs w:val="15"/>
          <w:u w:val="single" w:color="auto"/>
          <w:color w:val="auto"/>
        </w:rPr>
        <w:t>Section 7(n)</w:t>
      </w:r>
      <w:r>
        <w:rPr>
          <w:rFonts w:ascii="Times New Roman" w:cs="Times New Roman" w:eastAsia="Times New Roman" w:hAnsi="Times New Roman"/>
          <w:sz w:val="15"/>
          <w:szCs w:val="15"/>
          <w:color w:val="auto"/>
        </w:rPr>
        <w:t xml:space="preserve"> on or before the date on which such delivery of such Comfort Letter(s) is required pursuant to </w:t>
      </w:r>
      <w:r>
        <w:rPr>
          <w:rFonts w:ascii="Times New Roman" w:cs="Times New Roman" w:eastAsia="Times New Roman" w:hAnsi="Times New Roman"/>
          <w:sz w:val="15"/>
          <w:szCs w:val="15"/>
          <w:u w:val="single" w:color="auto"/>
          <w:color w:val="auto"/>
        </w:rPr>
        <w:t>Section 7(n)</w:t>
      </w:r>
      <w:r>
        <w:rPr>
          <w:rFonts w:ascii="Times New Roman" w:cs="Times New Roman" w:eastAsia="Times New Roman" w:hAnsi="Times New Roman"/>
          <w:sz w:val="15"/>
          <w:szCs w:val="15"/>
          <w:color w:val="auto"/>
        </w:rPr>
        <w:t>.</w:t>
      </w:r>
    </w:p>
    <w:p>
      <w:pPr>
        <w:spacing w:after="0" w:line="132" w:lineRule="exact"/>
        <w:rPr>
          <w:rFonts w:ascii="Times New Roman" w:cs="Times New Roman" w:eastAsia="Times New Roman" w:hAnsi="Times New Roman"/>
          <w:sz w:val="15"/>
          <w:szCs w:val="15"/>
          <w:color w:val="auto"/>
        </w:rPr>
      </w:pPr>
    </w:p>
    <w:p>
      <w:pPr>
        <w:ind w:right="260" w:firstLine="1091"/>
        <w:spacing w:after="0" w:line="290" w:lineRule="auto"/>
        <w:tabs>
          <w:tab w:leader="none" w:pos="1315"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 Date Certificate</w:t>
      </w:r>
      <w:r>
        <w:rPr>
          <w:rFonts w:ascii="Times New Roman" w:cs="Times New Roman" w:eastAsia="Times New Roman" w:hAnsi="Times New Roman"/>
          <w:sz w:val="15"/>
          <w:szCs w:val="15"/>
          <w:color w:val="auto"/>
        </w:rPr>
        <w:t xml:space="preserve">. The Agents shall have received the certificate required to be delivered pursuant to </w:t>
      </w:r>
      <w:r>
        <w:rPr>
          <w:rFonts w:ascii="Times New Roman" w:cs="Times New Roman" w:eastAsia="Times New Roman" w:hAnsi="Times New Roman"/>
          <w:sz w:val="15"/>
          <w:szCs w:val="15"/>
          <w:u w:val="single" w:color="auto"/>
          <w:color w:val="auto"/>
        </w:rPr>
        <w:t>Section 7(l)</w:t>
      </w:r>
      <w:r>
        <w:rPr>
          <w:rFonts w:ascii="Times New Roman" w:cs="Times New Roman" w:eastAsia="Times New Roman" w:hAnsi="Times New Roman"/>
          <w:sz w:val="15"/>
          <w:szCs w:val="15"/>
          <w:color w:val="auto"/>
        </w:rPr>
        <w:t xml:space="preserve"> on or before the date on which delivery of such certificate is required pursuant to </w:t>
      </w:r>
      <w:r>
        <w:rPr>
          <w:rFonts w:ascii="Times New Roman" w:cs="Times New Roman" w:eastAsia="Times New Roman" w:hAnsi="Times New Roman"/>
          <w:sz w:val="15"/>
          <w:szCs w:val="15"/>
          <w:u w:val="single" w:color="auto"/>
          <w:color w:val="auto"/>
        </w:rPr>
        <w:t>Section 7(l)</w:t>
      </w:r>
      <w:r>
        <w:rPr>
          <w:rFonts w:ascii="Times New Roman" w:cs="Times New Roman" w:eastAsia="Times New Roman" w:hAnsi="Times New Roman"/>
          <w:sz w:val="15"/>
          <w:szCs w:val="15"/>
          <w:color w:val="auto"/>
        </w:rPr>
        <w:t>.</w:t>
      </w:r>
    </w:p>
    <w:p>
      <w:pPr>
        <w:spacing w:after="0" w:line="132" w:lineRule="exact"/>
        <w:rPr>
          <w:rFonts w:ascii="Times New Roman" w:cs="Times New Roman" w:eastAsia="Times New Roman" w:hAnsi="Times New Roman"/>
          <w:sz w:val="15"/>
          <w:szCs w:val="15"/>
          <w:color w:val="auto"/>
        </w:rPr>
      </w:pPr>
    </w:p>
    <w:p>
      <w:pPr>
        <w:ind w:right="120" w:firstLine="1091"/>
        <w:spacing w:after="0" w:line="290" w:lineRule="auto"/>
        <w:tabs>
          <w:tab w:leader="none" w:pos="1315"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Secretary’s Certificate</w:t>
      </w:r>
      <w:r>
        <w:rPr>
          <w:rFonts w:ascii="Times New Roman" w:cs="Times New Roman" w:eastAsia="Times New Roman" w:hAnsi="Times New Roman"/>
          <w:sz w:val="15"/>
          <w:szCs w:val="15"/>
          <w:color w:val="auto"/>
        </w:rPr>
        <w:t xml:space="preserve">. The Agents shall have received the certificate required to be delivered pursuant to </w:t>
      </w:r>
      <w:r>
        <w:rPr>
          <w:rFonts w:ascii="Times New Roman" w:cs="Times New Roman" w:eastAsia="Times New Roman" w:hAnsi="Times New Roman"/>
          <w:sz w:val="15"/>
          <w:szCs w:val="15"/>
          <w:u w:val="single" w:color="auto"/>
          <w:color w:val="auto"/>
        </w:rPr>
        <w:t>Section 7(t)</w:t>
      </w:r>
      <w:r>
        <w:rPr>
          <w:rFonts w:ascii="Times New Roman" w:cs="Times New Roman" w:eastAsia="Times New Roman" w:hAnsi="Times New Roman"/>
          <w:sz w:val="15"/>
          <w:szCs w:val="15"/>
          <w:color w:val="auto"/>
        </w:rPr>
        <w:t xml:space="preserve"> on or before the date on which delivery of such certificate is required pursuant to </w:t>
      </w:r>
      <w:r>
        <w:rPr>
          <w:rFonts w:ascii="Times New Roman" w:cs="Times New Roman" w:eastAsia="Times New Roman" w:hAnsi="Times New Roman"/>
          <w:sz w:val="15"/>
          <w:szCs w:val="15"/>
          <w:u w:val="single" w:color="auto"/>
          <w:color w:val="auto"/>
        </w:rPr>
        <w:t>Section 7(t)</w:t>
      </w:r>
      <w:r>
        <w:rPr>
          <w:rFonts w:ascii="Times New Roman" w:cs="Times New Roman" w:eastAsia="Times New Roman" w:hAnsi="Times New Roman"/>
          <w:sz w:val="15"/>
          <w:szCs w:val="15"/>
          <w:color w:val="auto"/>
        </w:rPr>
        <w:t>.</w:t>
      </w:r>
    </w:p>
    <w:p>
      <w:pPr>
        <w:spacing w:after="0" w:line="132" w:lineRule="exact"/>
        <w:rPr>
          <w:rFonts w:ascii="Times New Roman" w:cs="Times New Roman" w:eastAsia="Times New Roman" w:hAnsi="Times New Roman"/>
          <w:sz w:val="15"/>
          <w:szCs w:val="15"/>
          <w:color w:val="auto"/>
        </w:rPr>
      </w:pPr>
    </w:p>
    <w:p>
      <w:pPr>
        <w:ind w:left="1280" w:hanging="189"/>
        <w:spacing w:after="0"/>
        <w:tabs>
          <w:tab w:leader="none" w:pos="128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Suspension</w:t>
      </w:r>
      <w:r>
        <w:rPr>
          <w:rFonts w:ascii="Times New Roman" w:cs="Times New Roman" w:eastAsia="Times New Roman" w:hAnsi="Times New Roman"/>
          <w:sz w:val="15"/>
          <w:szCs w:val="15"/>
          <w:color w:val="auto"/>
        </w:rPr>
        <w:t>. Trading in the Common Stock shall not have been suspended on the Exchange and the Common Stock shall not have been delisted from the</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Exchange.</w:t>
      </w:r>
    </w:p>
    <w:p>
      <w:pPr>
        <w:spacing w:after="0" w:line="179" w:lineRule="exact"/>
        <w:rPr>
          <w:rFonts w:ascii="Times New Roman" w:cs="Times New Roman" w:eastAsia="Times New Roman" w:hAnsi="Times New Roman"/>
          <w:sz w:val="15"/>
          <w:szCs w:val="15"/>
          <w:color w:val="auto"/>
        </w:rPr>
      </w:pPr>
    </w:p>
    <w:p>
      <w:pPr>
        <w:ind w:right="100" w:firstLine="1091"/>
        <w:spacing w:after="0" w:line="272" w:lineRule="auto"/>
        <w:tabs>
          <w:tab w:leader="none" w:pos="1281"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Materials</w:t>
      </w:r>
      <w:r>
        <w:rPr>
          <w:rFonts w:ascii="Times New Roman" w:cs="Times New Roman" w:eastAsia="Times New Roman" w:hAnsi="Times New Roman"/>
          <w:sz w:val="15"/>
          <w:szCs w:val="15"/>
          <w:color w:val="auto"/>
        </w:rPr>
        <w:t xml:space="preserve">. On each date on which the Company is required to deliver a certificate pursuant to </w:t>
      </w:r>
      <w:r>
        <w:rPr>
          <w:rFonts w:ascii="Times New Roman" w:cs="Times New Roman" w:eastAsia="Times New Roman" w:hAnsi="Times New Roman"/>
          <w:sz w:val="15"/>
          <w:szCs w:val="15"/>
          <w:u w:val="single" w:color="auto"/>
          <w:color w:val="auto"/>
        </w:rPr>
        <w:t>Section 7(l)</w:t>
      </w:r>
      <w:r>
        <w:rPr>
          <w:rFonts w:ascii="Times New Roman" w:cs="Times New Roman" w:eastAsia="Times New Roman" w:hAnsi="Times New Roman"/>
          <w:sz w:val="15"/>
          <w:szCs w:val="15"/>
          <w:color w:val="auto"/>
        </w:rPr>
        <w:t>, the Company shall have furnished to the Agents such appropriate further information, opinions, certificates, letters and other documents as the Agents may reasonably request. All such opinions, certificates, letters and other documents will be in compliance with the provisions hereof.</w:t>
      </w:r>
    </w:p>
    <w:p>
      <w:pPr>
        <w:spacing w:after="0" w:line="146" w:lineRule="exact"/>
        <w:rPr>
          <w:rFonts w:ascii="Times New Roman" w:cs="Times New Roman" w:eastAsia="Times New Roman" w:hAnsi="Times New Roman"/>
          <w:sz w:val="15"/>
          <w:szCs w:val="15"/>
          <w:color w:val="auto"/>
        </w:rPr>
      </w:pPr>
    </w:p>
    <w:p>
      <w:pPr>
        <w:ind w:right="240" w:firstLine="1091"/>
        <w:spacing w:after="0" w:line="290" w:lineRule="auto"/>
        <w:tabs>
          <w:tab w:leader="none" w:pos="1315"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Securities Act Filings Made</w:t>
      </w:r>
      <w:r>
        <w:rPr>
          <w:rFonts w:ascii="Times New Roman" w:cs="Times New Roman" w:eastAsia="Times New Roman" w:hAnsi="Times New Roman"/>
          <w:sz w:val="15"/>
          <w:szCs w:val="15"/>
          <w:color w:val="auto"/>
        </w:rPr>
        <w:t>. All filings with the Commission with respect to the Placement Shares required by Rule 424 under the Securities Act to have been filed prior to the issuance of any Placement Notice hereunder shall have been made within the applicable time period prescribed for such filing by Rule 424.</w:t>
      </w:r>
    </w:p>
    <w:p>
      <w:pPr>
        <w:spacing w:after="0" w:line="132" w:lineRule="exact"/>
        <w:rPr>
          <w:rFonts w:ascii="Times New Roman" w:cs="Times New Roman" w:eastAsia="Times New Roman" w:hAnsi="Times New Roman"/>
          <w:sz w:val="15"/>
          <w:szCs w:val="15"/>
          <w:color w:val="auto"/>
        </w:rPr>
      </w:pPr>
    </w:p>
    <w:p>
      <w:pPr>
        <w:ind w:right="20" w:firstLine="1091"/>
        <w:spacing w:after="0" w:line="272" w:lineRule="auto"/>
        <w:tabs>
          <w:tab w:leader="none" w:pos="1281"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Approval for Listing</w:t>
      </w:r>
      <w:r>
        <w:rPr>
          <w:rFonts w:ascii="Times New Roman" w:cs="Times New Roman" w:eastAsia="Times New Roman" w:hAnsi="Times New Roman"/>
          <w:sz w:val="15"/>
          <w:szCs w:val="15"/>
          <w:color w:val="auto"/>
        </w:rPr>
        <w:t>.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w:t>
      </w:r>
    </w:p>
    <w:p>
      <w:pPr>
        <w:spacing w:after="0" w:line="146" w:lineRule="exact"/>
        <w:rPr>
          <w:rFonts w:ascii="Times New Roman" w:cs="Times New Roman" w:eastAsia="Times New Roman" w:hAnsi="Times New Roman"/>
          <w:sz w:val="15"/>
          <w:szCs w:val="15"/>
          <w:color w:val="auto"/>
        </w:rPr>
      </w:pPr>
    </w:p>
    <w:p>
      <w:pPr>
        <w:ind w:right="120" w:firstLine="1091"/>
        <w:spacing w:after="0" w:line="290" w:lineRule="auto"/>
        <w:tabs>
          <w:tab w:leader="none" w:pos="1357"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FINRA</w:t>
      </w:r>
      <w:r>
        <w:rPr>
          <w:rFonts w:ascii="Times New Roman" w:cs="Times New Roman" w:eastAsia="Times New Roman" w:hAnsi="Times New Roman"/>
          <w:sz w:val="15"/>
          <w:szCs w:val="15"/>
          <w:color w:val="auto"/>
        </w:rPr>
        <w:t>. If applicable, FINRA shall have raised no objection to the terms of this offering and the amount of compensation allowable or payable to the Agents as described in the Prospectus.</w:t>
      </w:r>
    </w:p>
    <w:p>
      <w:pPr>
        <w:spacing w:after="0" w:line="132"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Termination Event</w:t>
      </w:r>
      <w:r>
        <w:rPr>
          <w:rFonts w:ascii="Times New Roman" w:cs="Times New Roman" w:eastAsia="Times New Roman" w:hAnsi="Times New Roman"/>
          <w:sz w:val="15"/>
          <w:szCs w:val="15"/>
          <w:color w:val="auto"/>
        </w:rPr>
        <w:t xml:space="preserve">. There shall not have occurred any event that would permit the Agents to terminate this Agreement pursuant to </w:t>
      </w:r>
      <w:r>
        <w:rPr>
          <w:rFonts w:ascii="Times New Roman" w:cs="Times New Roman" w:eastAsia="Times New Roman" w:hAnsi="Times New Roman"/>
          <w:sz w:val="15"/>
          <w:szCs w:val="15"/>
          <w:u w:val="single" w:color="auto"/>
          <w:color w:val="auto"/>
        </w:rPr>
        <w:t>Section 12(a)</w:t>
      </w:r>
      <w:r>
        <w:rPr>
          <w:rFonts w:ascii="Times New Roman" w:cs="Times New Roman" w:eastAsia="Times New Roman" w:hAnsi="Times New Roman"/>
          <w:sz w:val="15"/>
          <w:szCs w:val="15"/>
          <w:color w:val="auto"/>
        </w:rPr>
        <w: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85" w:name="page86"/>
    <w:bookmarkEnd w:id="85"/>
    <w:p>
      <w:pPr>
        <w:ind w:left="760" w:hanging="219"/>
        <w:spacing w:after="0"/>
        <w:tabs>
          <w:tab w:leader="none" w:pos="76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Indemnification and Contribution</w:t>
      </w:r>
      <w:r>
        <w:rPr>
          <w:rFonts w:ascii="Times New Roman" w:cs="Times New Roman" w:eastAsia="Times New Roman" w:hAnsi="Times New Roman"/>
          <w:sz w:val="15"/>
          <w:szCs w:val="15"/>
          <w:color w:val="auto"/>
        </w:rPr>
        <w:t>.</w:t>
      </w:r>
    </w:p>
    <w:p>
      <w:pPr>
        <w:spacing w:after="0" w:line="193" w:lineRule="exact"/>
        <w:rPr>
          <w:rFonts w:ascii="Times New Roman" w:cs="Times New Roman" w:eastAsia="Times New Roman" w:hAnsi="Times New Roman"/>
          <w:sz w:val="15"/>
          <w:szCs w:val="15"/>
          <w:color w:val="auto"/>
        </w:rPr>
      </w:pPr>
    </w:p>
    <w:p>
      <w:pPr>
        <w:ind w:right="440" w:firstLine="1091"/>
        <w:spacing w:after="0" w:line="272" w:lineRule="auto"/>
        <w:tabs>
          <w:tab w:leader="none" w:pos="1306"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 Indemnification</w:t>
      </w:r>
      <w:r>
        <w:rPr>
          <w:rFonts w:ascii="Times New Roman" w:cs="Times New Roman" w:eastAsia="Times New Roman" w:hAnsi="Times New Roman"/>
          <w:sz w:val="15"/>
          <w:szCs w:val="15"/>
          <w:color w:val="auto"/>
        </w:rPr>
        <w:t>. The Company agrees to indemnify and hold harmless each Agent, its affiliates and their respective partners, members, directors, officers, employees and agents and each person, if any, who controls such Agent or any such affiliate within the meaning of Section 15 of the Securities Act or Section 20 of the Exchange Act as follows:</w:t>
      </w:r>
    </w:p>
    <w:p>
      <w:pPr>
        <w:spacing w:after="0" w:line="146" w:lineRule="exact"/>
        <w:rPr>
          <w:rFonts w:ascii="Times New Roman" w:cs="Times New Roman" w:eastAsia="Times New Roman" w:hAnsi="Times New Roman"/>
          <w:sz w:val="15"/>
          <w:szCs w:val="15"/>
          <w:color w:val="auto"/>
        </w:rPr>
      </w:pPr>
    </w:p>
    <w:p>
      <w:pPr>
        <w:ind w:right="80" w:firstLine="1640"/>
        <w:spacing w:after="0" w:line="261" w:lineRule="auto"/>
        <w:tabs>
          <w:tab w:leader="none" w:pos="1831" w:val="left"/>
        </w:tabs>
        <w:numPr>
          <w:ilvl w:val="2"/>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or any breach by the Company of any of its respective representations, warranties or agreements contained in this Agreement;</w:t>
      </w:r>
    </w:p>
    <w:p>
      <w:pPr>
        <w:spacing w:after="0" w:line="156" w:lineRule="exact"/>
        <w:rPr>
          <w:rFonts w:ascii="Times New Roman" w:cs="Times New Roman" w:eastAsia="Times New Roman" w:hAnsi="Times New Roman"/>
          <w:sz w:val="15"/>
          <w:szCs w:val="15"/>
          <w:color w:val="auto"/>
        </w:rPr>
      </w:pPr>
    </w:p>
    <w:p>
      <w:pPr>
        <w:ind w:right="140" w:firstLine="1640"/>
        <w:spacing w:after="0" w:line="266" w:lineRule="auto"/>
        <w:tabs>
          <w:tab w:leader="none" w:pos="1873" w:val="left"/>
        </w:tabs>
        <w:numPr>
          <w:ilvl w:val="2"/>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against any and all loss, liability, claim, damage and reasonable and documented expense,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(subject to </w:t>
      </w:r>
      <w:r>
        <w:rPr>
          <w:rFonts w:ascii="Times New Roman" w:cs="Times New Roman" w:eastAsia="Times New Roman" w:hAnsi="Times New Roman"/>
          <w:sz w:val="15"/>
          <w:szCs w:val="15"/>
          <w:u w:val="single" w:color="auto"/>
          <w:color w:val="auto"/>
        </w:rPr>
        <w:t>Section 10(d)</w:t>
      </w:r>
      <w:r>
        <w:rPr>
          <w:rFonts w:ascii="Times New Roman" w:cs="Times New Roman" w:eastAsia="Times New Roman" w:hAnsi="Times New Roman"/>
          <w:sz w:val="15"/>
          <w:szCs w:val="15"/>
          <w:color w:val="auto"/>
        </w:rPr>
        <w:t xml:space="preserve"> below) any such settlement is effected with the written consent of the Company, which consent shall not unreasonably be delayed or withheld; and</w:t>
      </w:r>
    </w:p>
    <w:p>
      <w:pPr>
        <w:spacing w:after="0" w:line="151" w:lineRule="exact"/>
        <w:rPr>
          <w:rFonts w:ascii="Times New Roman" w:cs="Times New Roman" w:eastAsia="Times New Roman" w:hAnsi="Times New Roman"/>
          <w:sz w:val="15"/>
          <w:szCs w:val="15"/>
          <w:color w:val="auto"/>
        </w:rPr>
      </w:pPr>
    </w:p>
    <w:p>
      <w:pPr>
        <w:ind w:right="180" w:firstLine="1640"/>
        <w:spacing w:after="0" w:line="272" w:lineRule="auto"/>
        <w:tabs>
          <w:tab w:leader="none" w:pos="1915" w:val="left"/>
        </w:tabs>
        <w:numPr>
          <w:ilvl w:val="2"/>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against any and all expense, as reasonably incurred (including the reasonable and documented fees and disbursements of counsel),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w:t>
      </w:r>
    </w:p>
    <w:p>
      <w:pPr>
        <w:spacing w:after="0" w:line="14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however</w:t>
      </w:r>
      <w:r>
        <w:rPr>
          <w:rFonts w:ascii="Times New Roman" w:cs="Times New Roman" w:eastAsia="Times New Roman" w:hAnsi="Times New Roman"/>
          <w:sz w:val="15"/>
          <w:szCs w:val="15"/>
          <w:color w:val="auto"/>
        </w:rPr>
        <w:t>, that this indemnity agreement shall not apply to any loss, liability, claim, damage or expense to the extent arising out of any untrue statement or omission or alleged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untrue statement or omission made solely in reliance upon and in conformity with the Agents Information (as defined below). The indemnity agreement set forth in this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shall be in addition to any liabilities that the Company may otherwise have.</w:t>
      </w:r>
    </w:p>
    <w:p>
      <w:pPr>
        <w:spacing w:after="0" w:line="144" w:lineRule="exact"/>
        <w:rPr>
          <w:sz w:val="20"/>
          <w:szCs w:val="20"/>
          <w:color w:val="auto"/>
        </w:rPr>
      </w:pPr>
    </w:p>
    <w:p>
      <w:pPr>
        <w:ind w:right="100" w:firstLine="1091"/>
        <w:spacing w:after="0" w:line="259" w:lineRule="auto"/>
        <w:tabs>
          <w:tab w:leader="none" w:pos="1315"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Agents Indemnification</w:t>
      </w:r>
      <w:r>
        <w:rPr>
          <w:rFonts w:ascii="Times New Roman" w:cs="Times New Roman" w:eastAsia="Times New Roman" w:hAnsi="Times New Roman"/>
          <w:sz w:val="15"/>
          <w:szCs w:val="15"/>
          <w:color w:val="auto"/>
        </w:rPr>
        <w:t xml:space="preserve">. Each Agent severally but not jointly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cs="Times New Roman" w:eastAsia="Times New Roman" w:hAnsi="Times New Roman"/>
          <w:sz w:val="15"/>
          <w:szCs w:val="15"/>
          <w:u w:val="single" w:color="auto"/>
          <w:color w:val="auto"/>
        </w:rPr>
        <w:t>Section 10(a)</w:t>
      </w:r>
      <w:r>
        <w:rPr>
          <w:rFonts w:ascii="Times New Roman" w:cs="Times New Roman" w:eastAsia="Times New Roman" w:hAnsi="Times New Roman"/>
          <w:sz w:val="15"/>
          <w:szCs w:val="15"/>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such Agent and furnished to the Company in writing by such Agent expressly for use therein. The Company hereby acknowledges that the only information that the Agents have furnished to the Company expressly for use in the Registration Statement, the Prospectus, any Prospectus Supplement or any Issuer Free Writing Prospectus (or any amendment or supplement thereto) are the statements set forth in the ninth and tenth paragraphs under the caption “Plan of Distribution” in the Prospectus (the “</w:t>
      </w:r>
      <w:r>
        <w:rPr>
          <w:rFonts w:ascii="Times New Roman" w:cs="Times New Roman" w:eastAsia="Times New Roman" w:hAnsi="Times New Roman"/>
          <w:sz w:val="15"/>
          <w:szCs w:val="15"/>
          <w:b w:val="1"/>
          <w:bCs w:val="1"/>
          <w:u w:val="single" w:color="auto"/>
          <w:color w:val="auto"/>
        </w:rPr>
        <w:t>Agents Information</w:t>
      </w:r>
      <w:r>
        <w:rPr>
          <w:rFonts w:ascii="Times New Roman" w:cs="Times New Roman" w:eastAsia="Times New Roman" w:hAnsi="Times New Roman"/>
          <w:sz w:val="15"/>
          <w:szCs w:val="15"/>
          <w:color w:val="auto"/>
        </w:rPr>
        <w:t>”).</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86" w:name="page87"/>
    <w:bookmarkEnd w:id="86"/>
    <w:p>
      <w:pPr>
        <w:ind w:firstLine="1091"/>
        <w:spacing w:after="0" w:line="256" w:lineRule="auto"/>
        <w:tabs>
          <w:tab w:leader="none" w:pos="130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Procedure</w:t>
      </w:r>
      <w:r>
        <w:rPr>
          <w:rFonts w:ascii="Times New Roman" w:cs="Times New Roman" w:eastAsia="Times New Roman" w:hAnsi="Times New Roman"/>
          <w:sz w:val="15"/>
          <w:szCs w:val="15"/>
          <w:color w:val="auto"/>
        </w:rPr>
        <w:t xml:space="preserve">. Any party that proposes to assert the right to be indemnified under this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and (ii) any liability that it may have to any indemnified party under the foregoing provision of this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58" w:lineRule="exact"/>
        <w:rPr>
          <w:rFonts w:ascii="Times New Roman" w:cs="Times New Roman" w:eastAsia="Times New Roman" w:hAnsi="Times New Roman"/>
          <w:sz w:val="15"/>
          <w:szCs w:val="15"/>
          <w:color w:val="auto"/>
        </w:rPr>
      </w:pPr>
    </w:p>
    <w:p>
      <w:pPr>
        <w:ind w:right="120" w:firstLine="1091"/>
        <w:spacing w:after="0" w:line="265" w:lineRule="auto"/>
        <w:tabs>
          <w:tab w:leader="none" w:pos="1315"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Settlement Without Consent if Failure to Reimburse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If an indemnified party shall have requested an indemnifying party to reimburse the indemnified party for reasonable fees and expenses of counsel, such indemnifying party agrees that it shall be liable for any settlement of the nature contemplated by </w:t>
      </w:r>
      <w:r>
        <w:rPr>
          <w:rFonts w:ascii="Times New Roman" w:cs="Times New Roman" w:eastAsia="Times New Roman" w:hAnsi="Times New Roman"/>
          <w:sz w:val="15"/>
          <w:szCs w:val="15"/>
          <w:u w:val="single" w:color="auto"/>
          <w:color w:val="auto"/>
        </w:rPr>
        <w:t>Section 10(a)(ii)</w:t>
      </w:r>
      <w:r>
        <w:rPr>
          <w:rFonts w:ascii="Times New Roman" w:cs="Times New Roman" w:eastAsia="Times New Roman" w:hAnsi="Times New Roman"/>
          <w:sz w:val="15"/>
          <w:szCs w:val="15"/>
          <w:color w:val="auto"/>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87" w:name="page88"/>
    <w:bookmarkEnd w:id="87"/>
    <w:p>
      <w:pPr>
        <w:ind w:right="20" w:firstLine="1091"/>
        <w:spacing w:after="0" w:line="256" w:lineRule="auto"/>
        <w:tabs>
          <w:tab w:leader="none" w:pos="1306" w:val="left"/>
        </w:tabs>
        <w:numPr>
          <w:ilvl w:val="2"/>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Contribution</w:t>
      </w:r>
      <w:r>
        <w:rPr>
          <w:rFonts w:ascii="Times New Roman" w:cs="Times New Roman" w:eastAsia="Times New Roman" w:hAnsi="Times New Roman"/>
          <w:sz w:val="15"/>
          <w:szCs w:val="15"/>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is applicable in accordance with its terms but for any reason is held to be unavailable or insufficient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each Agent agree that it would not be just and equitable if contributions pursuant to this </w:t>
      </w:r>
      <w:r>
        <w:rPr>
          <w:rFonts w:ascii="Times New Roman" w:cs="Times New Roman" w:eastAsia="Times New Roman" w:hAnsi="Times New Roman"/>
          <w:sz w:val="15"/>
          <w:szCs w:val="15"/>
          <w:u w:val="single" w:color="auto"/>
          <w:color w:val="auto"/>
        </w:rPr>
        <w:t>Section 10(e)</w:t>
      </w:r>
      <w:r>
        <w:rPr>
          <w:rFonts w:ascii="Times New Roman" w:cs="Times New Roman" w:eastAsia="Times New Roman" w:hAnsi="Times New Roman"/>
          <w:sz w:val="15"/>
          <w:szCs w:val="15"/>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5"/>
          <w:szCs w:val="15"/>
          <w:u w:val="single" w:color="auto"/>
          <w:color w:val="auto"/>
        </w:rPr>
        <w:t>Section 10(e)</w:t>
      </w:r>
      <w:r>
        <w:rPr>
          <w:rFonts w:ascii="Times New Roman" w:cs="Times New Roman" w:eastAsia="Times New Roman" w:hAnsi="Times New Roman"/>
          <w:sz w:val="15"/>
          <w:szCs w:val="15"/>
          <w:color w:val="auto"/>
        </w:rPr>
        <w:t xml:space="preserve"> shall be deemed to include, for the purpose of this </w:t>
      </w:r>
      <w:r>
        <w:rPr>
          <w:rFonts w:ascii="Times New Roman" w:cs="Times New Roman" w:eastAsia="Times New Roman" w:hAnsi="Times New Roman"/>
          <w:sz w:val="15"/>
          <w:szCs w:val="15"/>
          <w:u w:val="single" w:color="auto"/>
          <w:color w:val="auto"/>
        </w:rPr>
        <w:t>Section 10(e)</w:t>
      </w:r>
      <w:r>
        <w:rPr>
          <w:rFonts w:ascii="Times New Roman" w:cs="Times New Roman" w:eastAsia="Times New Roman" w:hAnsi="Times New Roman"/>
          <w:sz w:val="15"/>
          <w:szCs w:val="15"/>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5"/>
          <w:szCs w:val="15"/>
          <w:u w:val="single" w:color="auto"/>
          <w:color w:val="auto"/>
        </w:rPr>
        <w:t>Section 10(c)</w:t>
      </w:r>
      <w:r>
        <w:rPr>
          <w:rFonts w:ascii="Times New Roman" w:cs="Times New Roman" w:eastAsia="Times New Roman" w:hAnsi="Times New Roman"/>
          <w:sz w:val="15"/>
          <w:szCs w:val="15"/>
          <w:color w:val="auto"/>
        </w:rPr>
        <w:t xml:space="preserve"> hereof. Notwithstanding the foregoing provisions of this </w:t>
      </w:r>
      <w:r>
        <w:rPr>
          <w:rFonts w:ascii="Times New Roman" w:cs="Times New Roman" w:eastAsia="Times New Roman" w:hAnsi="Times New Roman"/>
          <w:sz w:val="15"/>
          <w:szCs w:val="15"/>
          <w:u w:val="single" w:color="auto"/>
          <w:color w:val="auto"/>
        </w:rPr>
        <w:t>Section 10(e)</w:t>
      </w:r>
      <w:r>
        <w:rPr>
          <w:rFonts w:ascii="Times New Roman" w:cs="Times New Roman" w:eastAsia="Times New Roman" w:hAnsi="Times New Roman"/>
          <w:sz w:val="15"/>
          <w:szCs w:val="15"/>
          <w:color w:val="auto"/>
        </w:rPr>
        <w:t xml:space="preserve">, an Agent shall not be required to 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15"/>
          <w:szCs w:val="15"/>
          <w:u w:val="single" w:color="auto"/>
          <w:color w:val="auto"/>
        </w:rPr>
        <w:t>Section 11(f)</w:t>
      </w:r>
      <w:r>
        <w:rPr>
          <w:rFonts w:ascii="Times New Roman" w:cs="Times New Roman" w:eastAsia="Times New Roman" w:hAnsi="Times New Roman"/>
          <w:sz w:val="15"/>
          <w:szCs w:val="15"/>
          <w:color w:val="auto"/>
        </w:rPr>
        <w:t xml:space="preserve"> of the Securities Act) will be entitled to contribution from any person who was not guilty of such fraudulent misrepresentation. For purposes of this </w:t>
      </w:r>
      <w:r>
        <w:rPr>
          <w:rFonts w:ascii="Times New Roman" w:cs="Times New Roman" w:eastAsia="Times New Roman" w:hAnsi="Times New Roman"/>
          <w:sz w:val="15"/>
          <w:szCs w:val="15"/>
          <w:u w:val="single" w:color="auto"/>
          <w:color w:val="auto"/>
        </w:rPr>
        <w:t>Section 10(e)</w:t>
      </w:r>
      <w:r>
        <w:rPr>
          <w:rFonts w:ascii="Times New Roman" w:cs="Times New Roman" w:eastAsia="Times New Roman" w:hAnsi="Times New Roman"/>
          <w:sz w:val="15"/>
          <w:szCs w:val="15"/>
          <w:color w:val="auto"/>
        </w:rPr>
        <w:t xml:space="preserve">, any person who controls a party to this Agreement within the meaning of the Securities Act, any affiliates of an Agent and any officers, directors, partners, employees or agents of an Agent or any of its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5"/>
          <w:szCs w:val="15"/>
          <w:u w:val="single" w:color="auto"/>
          <w:color w:val="auto"/>
        </w:rPr>
        <w:t>Section 10(e)</w:t>
      </w:r>
      <w:r>
        <w:rPr>
          <w:rFonts w:ascii="Times New Roman" w:cs="Times New Roman" w:eastAsia="Times New Roman" w:hAnsi="Times New Roman"/>
          <w:sz w:val="15"/>
          <w:szCs w:val="15"/>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5"/>
          <w:szCs w:val="15"/>
          <w:u w:val="single" w:color="auto"/>
          <w:color w:val="auto"/>
        </w:rPr>
        <w:t>Section 10(e)</w:t>
      </w:r>
      <w:r>
        <w:rPr>
          <w:rFonts w:ascii="Times New Roman" w:cs="Times New Roman" w:eastAsia="Times New Roman" w:hAnsi="Times New Roman"/>
          <w:sz w:val="15"/>
          <w:szCs w:val="15"/>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5"/>
          <w:szCs w:val="15"/>
          <w:u w:val="single" w:color="auto"/>
          <w:color w:val="auto"/>
        </w:rPr>
        <w:t>Section 10(c)</w:t>
      </w:r>
      <w:r>
        <w:rPr>
          <w:rFonts w:ascii="Times New Roman" w:cs="Times New Roman" w:eastAsia="Times New Roman" w:hAnsi="Times New Roman"/>
          <w:sz w:val="15"/>
          <w:szCs w:val="15"/>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5"/>
          <w:szCs w:val="15"/>
          <w:u w:val="single" w:color="auto"/>
          <w:color w:val="auto"/>
        </w:rPr>
        <w:t>Section 10(c)</w:t>
      </w:r>
      <w:r>
        <w:rPr>
          <w:rFonts w:ascii="Times New Roman" w:cs="Times New Roman" w:eastAsia="Times New Roman" w:hAnsi="Times New Roman"/>
          <w:sz w:val="15"/>
          <w:szCs w:val="15"/>
          <w:color w:val="auto"/>
        </w:rPr>
        <w:t xml:space="preserve"> hereof. The Agents’ respective obligations to contribute pursuant to this </w:t>
      </w:r>
      <w:r>
        <w:rPr>
          <w:rFonts w:ascii="Times New Roman" w:cs="Times New Roman" w:eastAsia="Times New Roman" w:hAnsi="Times New Roman"/>
          <w:sz w:val="15"/>
          <w:szCs w:val="15"/>
          <w:u w:val="single" w:color="auto"/>
          <w:color w:val="auto"/>
        </w:rPr>
        <w:t>Section 10(e)</w:t>
      </w:r>
      <w:r>
        <w:rPr>
          <w:rFonts w:ascii="Times New Roman" w:cs="Times New Roman" w:eastAsia="Times New Roman" w:hAnsi="Times New Roman"/>
          <w:sz w:val="15"/>
          <w:szCs w:val="15"/>
          <w:color w:val="auto"/>
        </w:rPr>
        <w:t xml:space="preserve"> are several in proportion to the respective number of Placement Shares they have sold hereunder, and not joint.</w:t>
      </w:r>
    </w:p>
    <w:p>
      <w:pPr>
        <w:spacing w:after="0" w:line="344" w:lineRule="exact"/>
        <w:rPr>
          <w:rFonts w:ascii="Times New Roman" w:cs="Times New Roman" w:eastAsia="Times New Roman" w:hAnsi="Times New Roman"/>
          <w:sz w:val="15"/>
          <w:szCs w:val="15"/>
          <w:color w:val="auto"/>
        </w:rPr>
      </w:pPr>
    </w:p>
    <w:p>
      <w:pPr>
        <w:jc w:val="both"/>
        <w:ind w:right="180" w:firstLine="579"/>
        <w:spacing w:after="0" w:line="266" w:lineRule="auto"/>
        <w:tabs>
          <w:tab w:leader="none" w:pos="811"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Agreements to Survive Delivery</w:t>
      </w:r>
      <w:r>
        <w:rPr>
          <w:rFonts w:ascii="Times New Roman" w:cs="Times New Roman" w:eastAsia="Times New Roman" w:hAnsi="Times New Roman"/>
          <w:sz w:val="15"/>
          <w:szCs w:val="15"/>
          <w:color w:val="auto"/>
        </w:rPr>
        <w:t xml:space="preserve">. The indemnity and contribution agreements contained in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of this Agreement and all representations and warranties of the Company herein or in certificates delivered pursuant hereto shall survive, as of their respective dates, regardless of (i) any investigation made by or on behalf of any Agent, any controlling persons, or the Company (or any of their respective officers, directors, employees or controlling persons), (ii) delivery and acceptance of the Placement Shares and payment therefor or (iii) any termination of this Agreement.</w:t>
      </w:r>
    </w:p>
    <w:p>
      <w:pPr>
        <w:spacing w:after="0" w:line="151"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w:t>
      </w:r>
    </w:p>
    <w:p>
      <w:pPr>
        <w:spacing w:after="0" w:line="193" w:lineRule="exact"/>
        <w:rPr>
          <w:rFonts w:ascii="Times New Roman" w:cs="Times New Roman" w:eastAsia="Times New Roman" w:hAnsi="Times New Roman"/>
          <w:sz w:val="15"/>
          <w:szCs w:val="15"/>
          <w:color w:val="auto"/>
        </w:rPr>
      </w:pPr>
    </w:p>
    <w:p>
      <w:pPr>
        <w:ind w:firstLine="1091"/>
        <w:spacing w:after="0" w:line="257" w:lineRule="auto"/>
        <w:tabs>
          <w:tab w:leader="none" w:pos="1306" w:val="left"/>
        </w:tabs>
        <w:numPr>
          <w:ilvl w:val="2"/>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Agent may terminate this Agreement with respect to itself,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such Agent is material and adverse and makes it impractical or inadvisable to market the Placement Shares or to enforce contracts for the sale of the Placement Shares, (2) the Company shall have failed, refused or been unable to perform any agreement on its part to be performed hereunder, (3)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(4) if trading in the Common Stock has been suspended or limited by the Commission or the Exchange, or if trading generally on the Exchange has been suspended or limited, or minimum prices for trading have been fixed on the Exchange, (5) if any suspension of trading of any securities of the Company on any exchange or in the over-the-counter market shall have occurred and be continuing, (6) if a major disruption of securities settlements or clearance services in the United States shall have occurred and be continuing, or (7)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(Payment of Expenses),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(Indemnification and Contribution),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(Representations and Agreements to Survive Delivery),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(Governing Law and Time; Waiver of Jury Trial) and </w:t>
      </w:r>
      <w:r>
        <w:rPr>
          <w:rFonts w:ascii="Times New Roman" w:cs="Times New Roman" w:eastAsia="Times New Roman" w:hAnsi="Times New Roman"/>
          <w:sz w:val="15"/>
          <w:szCs w:val="15"/>
          <w:u w:val="single" w:color="auto"/>
          <w:color w:val="auto"/>
        </w:rPr>
        <w:t>Section 18</w:t>
      </w:r>
      <w:r>
        <w:rPr>
          <w:rFonts w:ascii="Times New Roman" w:cs="Times New Roman" w:eastAsia="Times New Roman" w:hAnsi="Times New Roman"/>
          <w:sz w:val="15"/>
          <w:szCs w:val="15"/>
          <w:color w:val="auto"/>
        </w:rPr>
        <w:t xml:space="preserve"> (Consent to Jurisdiction) hereof shall remain in full force and effect notwithstanding such termination. If an Agent elects to terminate this Agreement as provided in this </w:t>
      </w:r>
      <w:r>
        <w:rPr>
          <w:rFonts w:ascii="Times New Roman" w:cs="Times New Roman" w:eastAsia="Times New Roman" w:hAnsi="Times New Roman"/>
          <w:sz w:val="15"/>
          <w:szCs w:val="15"/>
          <w:u w:val="single" w:color="auto"/>
          <w:color w:val="auto"/>
        </w:rPr>
        <w:t>Section 12(a)</w:t>
      </w:r>
      <w:r>
        <w:rPr>
          <w:rFonts w:ascii="Times New Roman" w:cs="Times New Roman" w:eastAsia="Times New Roman" w:hAnsi="Times New Roman"/>
          <w:sz w:val="15"/>
          <w:szCs w:val="15"/>
          <w:color w:val="auto"/>
        </w:rPr>
        <w:t xml:space="preserve">, such Agent shall provide the required notice as specified in </w:t>
      </w:r>
      <w:r>
        <w:rPr>
          <w:rFonts w:ascii="Times New Roman" w:cs="Times New Roman" w:eastAsia="Times New Roman" w:hAnsi="Times New Roman"/>
          <w:sz w:val="15"/>
          <w:szCs w:val="15"/>
          <w:u w:val="single" w:color="auto"/>
          <w:color w:val="auto"/>
        </w:rPr>
        <w:t>Section 13</w:t>
      </w:r>
      <w:r>
        <w:rPr>
          <w:rFonts w:ascii="Times New Roman" w:cs="Times New Roman" w:eastAsia="Times New Roman" w:hAnsi="Times New Roman"/>
          <w:sz w:val="15"/>
          <w:szCs w:val="15"/>
          <w:color w:val="auto"/>
        </w:rPr>
        <w:t xml:space="preserve"> (Notices). For the avoidance of doubt, the termination by one Agent of its rights and obligations under this Agreement pursuant to this Section 12(a) shall not affect the rights and obligations of the other Agents under the Agreement.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88" w:name="page89"/>
    <w:bookmarkEnd w:id="88"/>
    <w:p>
      <w:pPr>
        <w:jc w:val="both"/>
        <w:ind w:right="20" w:firstLine="1091"/>
        <w:spacing w:after="0" w:line="266" w:lineRule="auto"/>
        <w:tabs>
          <w:tab w:leader="none" w:pos="1315"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18</w:t>
      </w:r>
      <w:r>
        <w:rPr>
          <w:rFonts w:ascii="Times New Roman" w:cs="Times New Roman" w:eastAsia="Times New Roman" w:hAnsi="Times New Roman"/>
          <w:sz w:val="15"/>
          <w:szCs w:val="15"/>
          <w:color w:val="auto"/>
        </w:rPr>
        <w:t xml:space="preserve"> hereof shall remain in full force and effect notwithstanding such termination. For the avoidance of doubt, the termination by the Company of this Agreement with respect to one Agent pursuant to this Section 12(b) shall not affect the rights and obligations of the other Agents under this Agreement.</w:t>
      </w:r>
    </w:p>
    <w:p>
      <w:pPr>
        <w:spacing w:after="0" w:line="151" w:lineRule="exact"/>
        <w:rPr>
          <w:rFonts w:ascii="Times New Roman" w:cs="Times New Roman" w:eastAsia="Times New Roman" w:hAnsi="Times New Roman"/>
          <w:sz w:val="15"/>
          <w:szCs w:val="15"/>
          <w:color w:val="auto"/>
        </w:rPr>
      </w:pPr>
    </w:p>
    <w:p>
      <w:pPr>
        <w:jc w:val="both"/>
        <w:ind w:firstLine="1091"/>
        <w:spacing w:after="0" w:line="266" w:lineRule="auto"/>
        <w:tabs>
          <w:tab w:leader="none" w:pos="1306"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Each Agent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18</w:t>
      </w:r>
      <w:r>
        <w:rPr>
          <w:rFonts w:ascii="Times New Roman" w:cs="Times New Roman" w:eastAsia="Times New Roman" w:hAnsi="Times New Roman"/>
          <w:sz w:val="15"/>
          <w:szCs w:val="15"/>
          <w:color w:val="auto"/>
        </w:rPr>
        <w:t xml:space="preserve"> hereof shall remain in full force and effect notwithstanding such termination. For the avoidance of doubt, the termination by one Agent of its rights and obligations under this Agreement pursuant to this Section 12(c) shall not affect the rights and obligations of the other Agents under this Agreement.</w:t>
      </w:r>
    </w:p>
    <w:p>
      <w:pPr>
        <w:spacing w:after="0" w:line="151" w:lineRule="exact"/>
        <w:rPr>
          <w:rFonts w:ascii="Times New Roman" w:cs="Times New Roman" w:eastAsia="Times New Roman" w:hAnsi="Times New Roman"/>
          <w:sz w:val="15"/>
          <w:szCs w:val="15"/>
          <w:color w:val="auto"/>
        </w:rPr>
      </w:pPr>
    </w:p>
    <w:p>
      <w:pPr>
        <w:ind w:right="80" w:firstLine="1091"/>
        <w:spacing w:after="0" w:line="266" w:lineRule="auto"/>
        <w:tabs>
          <w:tab w:leader="none" w:pos="1315"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Agreement shall remain in full force and effect unless terminated pursuant to </w:t>
      </w:r>
      <w:r>
        <w:rPr>
          <w:rFonts w:ascii="Times New Roman" w:cs="Times New Roman" w:eastAsia="Times New Roman" w:hAnsi="Times New Roman"/>
          <w:sz w:val="15"/>
          <w:szCs w:val="15"/>
          <w:u w:val="single" w:color="auto"/>
          <w:color w:val="auto"/>
        </w:rPr>
        <w:t>Sections 12(a)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xml:space="preserve">, or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xml:space="preserve"> above or otherwise by mutual agreement of the parties;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any such termination by mutual agreement shall in all cases be deemed to provide that </w:t>
      </w:r>
      <w:r>
        <w:rPr>
          <w:rFonts w:ascii="Times New Roman" w:cs="Times New Roman" w:eastAsia="Times New Roman" w:hAnsi="Times New Roman"/>
          <w:sz w:val="15"/>
          <w:szCs w:val="15"/>
          <w:u w:val="single" w:color="auto"/>
          <w:color w:val="auto"/>
        </w:rPr>
        <w:t>Section 8</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10</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11</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Section 17</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u w:val="single" w:color="auto"/>
          <w:color w:val="auto"/>
        </w:rPr>
        <w:t>Section 18</w:t>
      </w:r>
      <w:r>
        <w:rPr>
          <w:rFonts w:ascii="Times New Roman" w:cs="Times New Roman" w:eastAsia="Times New Roman" w:hAnsi="Times New Roman"/>
          <w:sz w:val="15"/>
          <w:szCs w:val="15"/>
          <w:color w:val="auto"/>
        </w:rPr>
        <w:t xml:space="preserve"> shall remain in full force and effect. Upon termination of this Agreement, the Company shall not have any liability to the Agents for any discount, commission, or other compensation with respect to any Placement Shares not otherwise sold by the Agents under this Agreement.</w:t>
      </w:r>
    </w:p>
    <w:p>
      <w:pPr>
        <w:spacing w:after="0" w:line="147" w:lineRule="exact"/>
        <w:rPr>
          <w:rFonts w:ascii="Times New Roman" w:cs="Times New Roman" w:eastAsia="Times New Roman" w:hAnsi="Times New Roman"/>
          <w:sz w:val="15"/>
          <w:szCs w:val="15"/>
          <w:color w:val="auto"/>
        </w:rPr>
      </w:pPr>
    </w:p>
    <w:p>
      <w:pPr>
        <w:ind w:right="60" w:firstLine="1091"/>
        <w:spacing w:after="0" w:line="275" w:lineRule="auto"/>
        <w:tabs>
          <w:tab w:leader="none" w:pos="1306"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termination of this Agreement shall be effective on the date specified in such notice of termination;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such termination shall not be effective until the close of business on the date of receipt of such notice by the Agents or the Company, as the case may be. If such termination shall occur prior to the Settlement Date for any sale of Placement Shares, such Placement Shares shall settle in accordance with the provisions of this Agreement.</w:t>
      </w:r>
    </w:p>
    <w:p>
      <w:pPr>
        <w:spacing w:after="0" w:line="143" w:lineRule="exact"/>
        <w:rPr>
          <w:rFonts w:ascii="Times New Roman" w:cs="Times New Roman" w:eastAsia="Times New Roman" w:hAnsi="Times New Roman"/>
          <w:sz w:val="15"/>
          <w:szCs w:val="15"/>
          <w:color w:val="auto"/>
        </w:rPr>
      </w:pPr>
    </w:p>
    <w:p>
      <w:pPr>
        <w:ind w:right="40" w:firstLine="541"/>
        <w:spacing w:after="0" w:line="290" w:lineRule="auto"/>
        <w:tabs>
          <w:tab w:leader="none" w:pos="778"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13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Evercore Group L.L.C.</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55 East 52nd Street, 35th Floor</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New York, NY 10055</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Attention: Attention: Equity Capital Markets</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Email: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Guggenheim Securities, LLC</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330 Madison Avenue</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New York, NY 10017</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Attention: Guggenheim Equity Syndicate</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Email: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Oppenheimer &amp; Co., Inc.</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85 Broad Street, 26th Floor</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New York, New York 10004</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Attention: General Counsel</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Email: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Northland Securities, Inc.</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150 South Fifth Street, Suite 3300</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Minneapolis, MN 55402</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Attention: Jeff Peterson</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Email:</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color w:val="auto"/>
        </w:rPr>
        <w:t>and:</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Wedbush Securities Inc.</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4 Embarcadero Center, Suite 2610</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San Francisco, CA 94111</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Attention: Equity Capital Markets</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Email: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a copy to:</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Latham &amp; Watkins LLP</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801 Jefferson Avenue, Suite 300</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Redwood City, CA 94063</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Attention: Tad J. Freese</w:t>
      </w:r>
    </w:p>
    <w:p>
      <w:pPr>
        <w:spacing w:after="0" w:line="1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5"/>
          <w:szCs w:val="15"/>
          <w:color w:val="auto"/>
        </w:rPr>
        <w:t>Richard Kim</w:t>
      </w:r>
    </w:p>
    <w:p>
      <w:pPr>
        <w:spacing w:after="0" w:line="11" w:lineRule="exact"/>
        <w:rPr>
          <w:sz w:val="20"/>
          <w:szCs w:val="20"/>
          <w:color w:val="auto"/>
        </w:rPr>
      </w:pPr>
    </w:p>
    <w:p>
      <w:pPr>
        <w:jc w:val="center"/>
        <w:ind w:right="8500"/>
        <w:spacing w:after="0"/>
        <w:rPr>
          <w:sz w:val="20"/>
          <w:szCs w:val="20"/>
          <w:color w:val="auto"/>
        </w:rPr>
      </w:pPr>
      <w:r>
        <w:rPr>
          <w:rFonts w:ascii="Times New Roman" w:cs="Times New Roman" w:eastAsia="Times New Roman" w:hAnsi="Times New Roman"/>
          <w:sz w:val="15"/>
          <w:szCs w:val="15"/>
          <w:color w:val="auto"/>
        </w:rPr>
        <w:t>Email: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if to the Company, shall be delivered to:</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Serve Robotics Inc.</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730 Broadway</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Redwood City, California 94063</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Attention: Brian Read</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Email: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a copy to:</w:t>
      </w:r>
    </w:p>
    <w:p>
      <w:pPr>
        <w:spacing w:after="0" w:line="19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Orrick, Herrington &amp; Sutcliffe LLP</w:t>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222 Berkeley St., Suite 2000</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Boston, MA 02116</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Attn: Albert Vanderlaan</w:t>
      </w:r>
    </w:p>
    <w:p>
      <w:pPr>
        <w:spacing w:after="0" w:line="1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5"/>
          <w:szCs w:val="15"/>
          <w:color w:val="auto"/>
        </w:rPr>
        <w:t>Email:</w:t>
      </w:r>
    </w:p>
    <w:p>
      <w:pPr>
        <w:spacing w:after="0" w:line="179" w:lineRule="exact"/>
        <w:rPr>
          <w:sz w:val="20"/>
          <w:szCs w:val="20"/>
          <w:color w:val="auto"/>
        </w:rPr>
      </w:pPr>
    </w:p>
    <w:p>
      <w:pPr>
        <w:jc w:val="both"/>
        <w:ind w:right="60" w:firstLine="549"/>
        <w:spacing w:after="0" w:line="261" w:lineRule="auto"/>
        <w:rPr>
          <w:sz w:val="20"/>
          <w:szCs w:val="20"/>
          <w:color w:val="auto"/>
        </w:rPr>
      </w:pPr>
      <w:r>
        <w:rPr>
          <w:rFonts w:ascii="Times New Roman" w:cs="Times New Roman" w:eastAsia="Times New Roman" w:hAnsi="Times New Roman"/>
          <w:sz w:val="15"/>
          <w:szCs w:val="15"/>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5"/>
          <w:szCs w:val="15"/>
          <w:b w:val="1"/>
          <w:bCs w:val="1"/>
          <w:u w:val="single" w:color="auto"/>
          <w:color w:val="auto"/>
        </w:rPr>
        <w:t>Business Day</w:t>
      </w:r>
      <w:r>
        <w:rPr>
          <w:rFonts w:ascii="Times New Roman" w:cs="Times New Roman" w:eastAsia="Times New Roman" w:hAnsi="Times New Roman"/>
          <w:sz w:val="15"/>
          <w:szCs w:val="15"/>
          <w:color w:val="auto"/>
        </w:rPr>
        <w:t>” shall mean any day on which the Exchange and commercial banks in the City of New York are open for business.</w:t>
      </w:r>
    </w:p>
    <w:p>
      <w:pPr>
        <w:spacing w:after="0" w:line="153" w:lineRule="exact"/>
        <w:rPr>
          <w:sz w:val="20"/>
          <w:szCs w:val="20"/>
          <w:color w:val="auto"/>
        </w:rPr>
      </w:pPr>
    </w:p>
    <w:p>
      <w:pPr>
        <w:ind w:firstLine="549"/>
        <w:spacing w:after="0" w:line="268" w:lineRule="auto"/>
        <w:rPr>
          <w:sz w:val="20"/>
          <w:szCs w:val="20"/>
          <w:color w:val="auto"/>
        </w:rPr>
      </w:pPr>
      <w:r>
        <w:rPr>
          <w:rFonts w:ascii="Times New Roman" w:cs="Times New Roman" w:eastAsia="Times New Roman" w:hAnsi="Times New Roman"/>
          <w:sz w:val="15"/>
          <w:szCs w:val="15"/>
          <w:color w:val="auto"/>
        </w:rPr>
        <w:t>An electronic communication (“</w:t>
      </w:r>
      <w:r>
        <w:rPr>
          <w:rFonts w:ascii="Times New Roman" w:cs="Times New Roman" w:eastAsia="Times New Roman" w:hAnsi="Times New Roman"/>
          <w:sz w:val="15"/>
          <w:szCs w:val="15"/>
          <w:b w:val="1"/>
          <w:bCs w:val="1"/>
          <w:u w:val="single" w:color="auto"/>
          <w:color w:val="auto"/>
        </w:rPr>
        <w:t>Electronic Notice</w:t>
      </w:r>
      <w:r>
        <w:rPr>
          <w:rFonts w:ascii="Times New Roman" w:cs="Times New Roman" w:eastAsia="Times New Roman" w:hAnsi="Times New Roman"/>
          <w:sz w:val="15"/>
          <w:szCs w:val="15"/>
          <w:color w:val="auto"/>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cs="Times New Roman" w:eastAsia="Times New Roman" w:hAnsi="Times New Roman"/>
          <w:sz w:val="15"/>
          <w:szCs w:val="15"/>
          <w:b w:val="1"/>
          <w:bCs w:val="1"/>
          <w:u w:val="single" w:color="auto"/>
          <w:color w:val="auto"/>
        </w:rPr>
        <w:t>Nonelectronic Notic</w:t>
      </w: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5"/>
          <w:szCs w:val="15"/>
          <w:color w:val="auto"/>
        </w:rPr>
        <w:t>”) which shall be sent to the requesting party within ten (10) days of receipt of the written request for Nonelectronic Notice.</w:t>
      </w:r>
    </w:p>
    <w:p>
      <w:pPr>
        <w:spacing w:after="0" w:line="3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100"/>
          </w:cols>
          <w:pgMar w:left="320" w:top="789" w:right="479" w:bottom="1440" w:gutter="0" w:footer="0" w:header="0"/>
        </w:sectPr>
      </w:pPr>
    </w:p>
    <w:bookmarkStart w:id="90" w:name="page91"/>
    <w:bookmarkEnd w:id="90"/>
    <w:p>
      <w:pPr>
        <w:ind w:right="100" w:firstLine="541"/>
        <w:spacing w:after="0" w:line="261" w:lineRule="auto"/>
        <w:tabs>
          <w:tab w:leader="none" w:pos="778"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Successors and Assigns</w:t>
      </w:r>
      <w:r>
        <w:rPr>
          <w:rFonts w:ascii="Times New Roman" w:cs="Times New Roman" w:eastAsia="Times New Roman" w:hAnsi="Times New Roman"/>
          <w:sz w:val="15"/>
          <w:szCs w:val="15"/>
          <w:color w:val="auto"/>
        </w:rPr>
        <w:t xml:space="preserve">. This Agreement shall inure to the benefit of and be binding upon the Company and each Agent and their respective successors and the parties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each Agent may assign its rights and obligations hereunder to an affiliate thereof without obtaining the Company’s consent.</w:t>
      </w:r>
    </w:p>
    <w:p>
      <w:pPr>
        <w:spacing w:after="0" w:line="156" w:lineRule="exact"/>
        <w:rPr>
          <w:rFonts w:ascii="Times New Roman" w:cs="Times New Roman" w:eastAsia="Times New Roman" w:hAnsi="Times New Roman"/>
          <w:sz w:val="15"/>
          <w:szCs w:val="15"/>
          <w:color w:val="auto"/>
        </w:rPr>
      </w:pPr>
    </w:p>
    <w:p>
      <w:pPr>
        <w:ind w:right="340" w:firstLine="541"/>
        <w:spacing w:after="0" w:line="290" w:lineRule="auto"/>
        <w:tabs>
          <w:tab w:leader="none" w:pos="778"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Adjustments for Stock Splits</w:t>
      </w:r>
      <w:r>
        <w:rPr>
          <w:rFonts w:ascii="Times New Roman" w:cs="Times New Roman" w:eastAsia="Times New Roman" w:hAnsi="Times New Roman"/>
          <w:sz w:val="15"/>
          <w:szCs w:val="15"/>
          <w:color w:val="auto"/>
        </w:rPr>
        <w:t>. The parties acknowledge and agree that all share-related numbers contained in this Agreement shall be adjusted to take into account any stock split, stock dividend or similar event effected with respect to the Placement Shares.</w:t>
      </w:r>
    </w:p>
    <w:p>
      <w:pPr>
        <w:spacing w:after="0" w:line="132" w:lineRule="exact"/>
        <w:rPr>
          <w:rFonts w:ascii="Times New Roman" w:cs="Times New Roman" w:eastAsia="Times New Roman" w:hAnsi="Times New Roman"/>
          <w:sz w:val="15"/>
          <w:szCs w:val="15"/>
          <w:color w:val="auto"/>
        </w:rPr>
      </w:pPr>
    </w:p>
    <w:p>
      <w:pPr>
        <w:ind w:right="40" w:firstLine="541"/>
        <w:spacing w:after="0" w:line="259" w:lineRule="auto"/>
        <w:tabs>
          <w:tab w:leader="none" w:pos="778"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Entire Agreement; Amendment; Severability; Waiver</w:t>
      </w:r>
      <w:r>
        <w:rPr>
          <w:rFonts w:ascii="Times New Roman" w:cs="Times New Roman" w:eastAsia="Times New Roman" w:hAnsi="Times New Roman"/>
          <w:sz w:val="15"/>
          <w:szCs w:val="15"/>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each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52" w:lineRule="exact"/>
        <w:rPr>
          <w:rFonts w:ascii="Times New Roman" w:cs="Times New Roman" w:eastAsia="Times New Roman" w:hAnsi="Times New Roman"/>
          <w:sz w:val="15"/>
          <w:szCs w:val="15"/>
          <w:color w:val="auto"/>
        </w:rPr>
      </w:pPr>
    </w:p>
    <w:p>
      <w:pPr>
        <w:ind w:right="180" w:firstLine="541"/>
        <w:spacing w:after="0" w:line="265" w:lineRule="auto"/>
        <w:tabs>
          <w:tab w:leader="none" w:pos="778"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GOVERNING LAW AND TIME; WAIVER OF JURY TRIAL</w:t>
      </w:r>
      <w:r>
        <w:rPr>
          <w:rFonts w:ascii="Times New Roman" w:cs="Times New Roman" w:eastAsia="Times New Roman" w:hAnsi="Times New Roman"/>
          <w:sz w:val="15"/>
          <w:szCs w:val="15"/>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46" w:lineRule="exact"/>
        <w:rPr>
          <w:rFonts w:ascii="Times New Roman" w:cs="Times New Roman" w:eastAsia="Times New Roman" w:hAnsi="Times New Roman"/>
          <w:sz w:val="15"/>
          <w:szCs w:val="15"/>
          <w:color w:val="auto"/>
        </w:rPr>
      </w:pPr>
    </w:p>
    <w:p>
      <w:pPr>
        <w:ind w:firstLine="541"/>
        <w:spacing w:after="0" w:line="259" w:lineRule="auto"/>
        <w:tabs>
          <w:tab w:leader="none" w:pos="778"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u w:val="single" w:color="auto"/>
          <w:color w:val="auto"/>
        </w:rPr>
        <w:t>CONSENT TO JURISDICTION</w:t>
      </w:r>
      <w:r>
        <w:rPr>
          <w:rFonts w:ascii="Times New Roman" w:cs="Times New Roman" w:eastAsia="Times New Roman" w:hAnsi="Times New Roman"/>
          <w:sz w:val="15"/>
          <w:szCs w:val="15"/>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91" w:name="page92"/>
    <w:bookmarkEnd w:id="91"/>
    <w:p>
      <w:pPr>
        <w:ind w:left="-20" w:right="80" w:firstLine="541"/>
        <w:spacing w:after="0" w:line="266" w:lineRule="auto"/>
        <w:tabs>
          <w:tab w:leader="none" w:pos="758"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51" w:lineRule="exact"/>
        <w:rPr>
          <w:rFonts w:ascii="Times New Roman" w:cs="Times New Roman" w:eastAsia="Times New Roman" w:hAnsi="Times New Roman"/>
          <w:sz w:val="15"/>
          <w:szCs w:val="15"/>
          <w:color w:val="auto"/>
        </w:rPr>
      </w:pPr>
    </w:p>
    <w:p>
      <w:pPr>
        <w:ind w:left="-20" w:right="40" w:firstLine="541"/>
        <w:spacing w:after="0" w:line="266" w:lineRule="auto"/>
        <w:tabs>
          <w:tab w:leader="none" w:pos="758"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Construction</w:t>
      </w:r>
      <w:r>
        <w:rPr>
          <w:rFonts w:ascii="Times New Roman" w:cs="Times New Roman" w:eastAsia="Times New Roman" w:hAnsi="Times New Roman"/>
          <w:sz w:val="15"/>
          <w:szCs w:val="15"/>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51" w:lineRule="exact"/>
        <w:rPr>
          <w:rFonts w:ascii="Times New Roman" w:cs="Times New Roman" w:eastAsia="Times New Roman" w:hAnsi="Times New Roman"/>
          <w:sz w:val="15"/>
          <w:szCs w:val="15"/>
          <w:color w:val="auto"/>
        </w:rPr>
      </w:pPr>
    </w:p>
    <w:p>
      <w:pPr>
        <w:ind w:left="-20" w:right="20" w:firstLine="541"/>
        <w:spacing w:after="0" w:line="259" w:lineRule="auto"/>
        <w:tabs>
          <w:tab w:leader="none" w:pos="758"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Permitted Free Writing Prospectuses</w:t>
      </w:r>
      <w:r>
        <w:rPr>
          <w:rFonts w:ascii="Times New Roman" w:cs="Times New Roman" w:eastAsia="Times New Roman" w:hAnsi="Times New Roman"/>
          <w:sz w:val="15"/>
          <w:szCs w:val="15"/>
          <w:color w:val="auto"/>
        </w:rPr>
        <w:t xml:space="preserve">. The Company represents, warrants and agrees that, unless it obtains the prior written consent of the Agents, which shall not be unreasonably withheld, conditioned or delayed, and each Agent represents, warrants and agrees that, unless it obtains the prior written consent of the Company, which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5"/>
          <w:szCs w:val="15"/>
          <w:u w:val="single" w:color="auto"/>
          <w:color w:val="auto"/>
        </w:rPr>
        <w:t>Exhibit 21</w:t>
      </w:r>
      <w:r>
        <w:rPr>
          <w:rFonts w:ascii="Times New Roman" w:cs="Times New Roman" w:eastAsia="Times New Roman" w:hAnsi="Times New Roman"/>
          <w:sz w:val="15"/>
          <w:szCs w:val="15"/>
          <w:color w:val="auto"/>
        </w:rPr>
        <w:t xml:space="preserve"> hereto are Permitted Free Writing Prospectuses.</w:t>
      </w:r>
    </w:p>
    <w:p>
      <w:pPr>
        <w:spacing w:after="0" w:line="159" w:lineRule="exact"/>
        <w:rPr>
          <w:rFonts w:ascii="Times New Roman" w:cs="Times New Roman" w:eastAsia="Times New Roman" w:hAnsi="Times New Roman"/>
          <w:sz w:val="15"/>
          <w:szCs w:val="15"/>
          <w:color w:val="auto"/>
        </w:rPr>
      </w:pPr>
    </w:p>
    <w:p>
      <w:pPr>
        <w:ind w:left="740" w:hanging="219"/>
        <w:spacing w:after="0"/>
        <w:tabs>
          <w:tab w:leader="none" w:pos="7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Absence of Fiduciary Relationship</w:t>
      </w:r>
      <w:r>
        <w:rPr>
          <w:rFonts w:ascii="Times New Roman" w:cs="Times New Roman" w:eastAsia="Times New Roman" w:hAnsi="Times New Roman"/>
          <w:sz w:val="15"/>
          <w:szCs w:val="15"/>
          <w:color w:val="auto"/>
        </w:rPr>
        <w:t>. The Company acknowledges and agrees that:</w:t>
      </w:r>
    </w:p>
    <w:p>
      <w:pPr>
        <w:spacing w:after="0" w:line="193" w:lineRule="exact"/>
        <w:rPr>
          <w:rFonts w:ascii="Times New Roman" w:cs="Times New Roman" w:eastAsia="Times New Roman" w:hAnsi="Times New Roman"/>
          <w:sz w:val="15"/>
          <w:szCs w:val="15"/>
          <w:color w:val="auto"/>
        </w:rPr>
      </w:pPr>
    </w:p>
    <w:p>
      <w:pPr>
        <w:ind w:left="-20" w:firstLine="1091"/>
        <w:spacing w:after="0" w:line="263" w:lineRule="auto"/>
        <w:tabs>
          <w:tab w:leader="none" w:pos="1286"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any Agent has advised or is advising the Company on other matters, and the Agents have no obligation to the Company with respect to the transactions contemplated by this Agreement except the obligations expressly set forth in this Agreement;</w:t>
      </w:r>
    </w:p>
    <w:p>
      <w:pPr>
        <w:spacing w:after="0" w:line="153" w:lineRule="exact"/>
        <w:rPr>
          <w:rFonts w:ascii="Times New Roman" w:cs="Times New Roman" w:eastAsia="Times New Roman" w:hAnsi="Times New Roman"/>
          <w:sz w:val="15"/>
          <w:szCs w:val="15"/>
          <w:color w:val="auto"/>
        </w:rPr>
      </w:pPr>
    </w:p>
    <w:p>
      <w:pPr>
        <w:ind w:left="1280" w:hanging="209"/>
        <w:spacing w:after="0"/>
        <w:tabs>
          <w:tab w:leader="none" w:pos="1280"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capable of evaluating and understanding, and understands and accepts, the terms, risks and conditions of the transactions contemplated by this Agreement;</w:t>
      </w:r>
    </w:p>
    <w:p>
      <w:pPr>
        <w:spacing w:after="0" w:line="193" w:lineRule="exact"/>
        <w:rPr>
          <w:rFonts w:ascii="Times New Roman" w:cs="Times New Roman" w:eastAsia="Times New Roman" w:hAnsi="Times New Roman"/>
          <w:sz w:val="15"/>
          <w:szCs w:val="15"/>
          <w:color w:val="auto"/>
        </w:rPr>
      </w:pPr>
    </w:p>
    <w:p>
      <w:pPr>
        <w:ind w:left="-20" w:firstLine="1091"/>
        <w:spacing w:after="0" w:line="290" w:lineRule="auto"/>
        <w:tabs>
          <w:tab w:leader="none" w:pos="1286"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Agents nor their respective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32" w:lineRule="exact"/>
        <w:rPr>
          <w:rFonts w:ascii="Times New Roman" w:cs="Times New Roman" w:eastAsia="Times New Roman" w:hAnsi="Times New Roman"/>
          <w:sz w:val="15"/>
          <w:szCs w:val="15"/>
          <w:color w:val="auto"/>
        </w:rPr>
      </w:pPr>
    </w:p>
    <w:p>
      <w:pPr>
        <w:ind w:left="-20" w:right="80" w:firstLine="1091"/>
        <w:spacing w:after="0" w:line="290" w:lineRule="auto"/>
        <w:tabs>
          <w:tab w:leader="none" w:pos="1295"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aware that each Agent and its affiliates are engaged in a broad range of transactions which may involve interests that differ from those of the Company and such Agent and its affiliates have no obligation to disclose such interests and transactions to the Company by virtue of any fiduciary, advisory or agency relationship or otherwise; and</w:t>
      </w:r>
    </w:p>
    <w:p>
      <w:pPr>
        <w:spacing w:after="0" w:line="132" w:lineRule="exact"/>
        <w:rPr>
          <w:rFonts w:ascii="Times New Roman" w:cs="Times New Roman" w:eastAsia="Times New Roman" w:hAnsi="Times New Roman"/>
          <w:sz w:val="15"/>
          <w:szCs w:val="15"/>
          <w:color w:val="auto"/>
        </w:rPr>
      </w:pPr>
    </w:p>
    <w:p>
      <w:pPr>
        <w:ind w:left="-20" w:right="40" w:firstLine="1091"/>
        <w:spacing w:after="0" w:line="266" w:lineRule="auto"/>
        <w:tabs>
          <w:tab w:leader="none" w:pos="1286" w:val="left"/>
        </w:tabs>
        <w:numPr>
          <w:ilvl w:val="1"/>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waives, to the fullest extent permitted by law, any claims it may have against an Agent or its affiliates for breach of fiduciary duty or alleged breach of fiduciary duty in connection with the sale of Placement Shares under this Agreement and agrees that such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the Company.</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wp:posOffset>
            </wp:positionV>
            <wp:extent cx="7153275"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40" w:top="789" w:right="359" w:bottom="1440" w:gutter="0" w:footer="0" w:header="0"/>
        </w:sectPr>
      </w:pPr>
    </w:p>
    <w:bookmarkStart w:id="92" w:name="page93"/>
    <w:bookmarkEnd w:id="92"/>
    <w:p>
      <w:pPr>
        <w:ind w:left="540"/>
        <w:spacing w:after="0"/>
        <w:rPr>
          <w:sz w:val="20"/>
          <w:szCs w:val="20"/>
          <w:color w:val="auto"/>
        </w:rPr>
      </w:pPr>
      <w:r>
        <w:rPr>
          <w:rFonts w:ascii="Times New Roman" w:cs="Times New Roman" w:eastAsia="Times New Roman" w:hAnsi="Times New Roman"/>
          <w:sz w:val="15"/>
          <w:szCs w:val="15"/>
          <w:color w:val="auto"/>
        </w:rPr>
        <w:t xml:space="preserve">23. </w:t>
      </w:r>
      <w:r>
        <w:rPr>
          <w:rFonts w:ascii="Times New Roman" w:cs="Times New Roman" w:eastAsia="Times New Roman" w:hAnsi="Times New Roman"/>
          <w:sz w:val="15"/>
          <w:szCs w:val="15"/>
          <w:u w:val="single" w:color="auto"/>
          <w:color w:val="auto"/>
        </w:rPr>
        <w:t>Definitions</w:t>
      </w:r>
      <w:r>
        <w:rPr>
          <w:rFonts w:ascii="Times New Roman" w:cs="Times New Roman" w:eastAsia="Times New Roman" w:hAnsi="Times New Roman"/>
          <w:sz w:val="15"/>
          <w:szCs w:val="15"/>
          <w:color w:val="auto"/>
        </w:rPr>
        <w:t>. As used in this Agreement, the following terms have the respective meanings set forth below:</w:t>
      </w:r>
    </w:p>
    <w:p>
      <w:pPr>
        <w:spacing w:after="0" w:line="190" w:lineRule="exact"/>
        <w:rPr>
          <w:sz w:val="20"/>
          <w:szCs w:val="20"/>
          <w:color w:val="auto"/>
        </w:rPr>
      </w:pPr>
    </w:p>
    <w:p>
      <w:pPr>
        <w:ind w:right="200" w:firstLine="549"/>
        <w:spacing w:after="0" w:line="29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Applicable Time</w:t>
      </w:r>
      <w:r>
        <w:rPr>
          <w:rFonts w:ascii="Times New Roman" w:cs="Times New Roman" w:eastAsia="Times New Roman" w:hAnsi="Times New Roman"/>
          <w:sz w:val="15"/>
          <w:szCs w:val="15"/>
          <w:color w:val="auto"/>
        </w:rPr>
        <w:t>” means (i) each Representation Date, (ii) each date on which a Placement Notice is given, (iii) the time of each sale of any Placement Shares pursuant to this Agreement and (iv) each Settlement Date.</w:t>
      </w:r>
    </w:p>
    <w:p>
      <w:pPr>
        <w:spacing w:after="0" w:line="125" w:lineRule="exact"/>
        <w:rPr>
          <w:sz w:val="20"/>
          <w:szCs w:val="20"/>
          <w:color w:val="auto"/>
        </w:rPr>
      </w:pPr>
    </w:p>
    <w:p>
      <w:pPr>
        <w:ind w:right="360" w:firstLine="54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Governmental Authority</w:t>
      </w:r>
      <w:r>
        <w:rPr>
          <w:rFonts w:ascii="Times New Roman" w:cs="Times New Roman" w:eastAsia="Times New Roman" w:hAnsi="Times New Roman"/>
          <w:sz w:val="15"/>
          <w:szCs w:val="15"/>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40" w:lineRule="exact"/>
        <w:rPr>
          <w:sz w:val="20"/>
          <w:szCs w:val="20"/>
          <w:color w:val="auto"/>
        </w:rPr>
      </w:pPr>
    </w:p>
    <w:p>
      <w:pPr>
        <w:jc w:val="both"/>
        <w:ind w:right="20" w:firstLine="549"/>
        <w:spacing w:after="0" w:line="26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Issuer Free Writing Prospectus</w:t>
      </w:r>
      <w:r>
        <w:rPr>
          <w:rFonts w:ascii="Times New Roman" w:cs="Times New Roman" w:eastAsia="Times New Roman" w:hAnsi="Times New Roman"/>
          <w:sz w:val="15"/>
          <w:szCs w:val="15"/>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47" w:lineRule="exact"/>
        <w:rPr>
          <w:sz w:val="20"/>
          <w:szCs w:val="20"/>
          <w:color w:val="auto"/>
        </w:rPr>
      </w:pPr>
    </w:p>
    <w:p>
      <w:pPr>
        <w:ind w:firstLine="549"/>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Personal Data</w:t>
      </w:r>
      <w:r>
        <w:rPr>
          <w:rFonts w:ascii="Times New Roman" w:cs="Times New Roman" w:eastAsia="Times New Roman" w:hAnsi="Times New Roman"/>
          <w:sz w:val="15"/>
          <w:szCs w:val="15"/>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(iv)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5"/>
          <w:szCs w:val="15"/>
          <w:b w:val="1"/>
          <w:bCs w:val="1"/>
          <w:u w:val="single" w:color="auto"/>
          <w:color w:val="auto"/>
        </w:rPr>
        <w:t>HIPAA</w:t>
      </w:r>
      <w:r>
        <w:rPr>
          <w:rFonts w:ascii="Times New Roman" w:cs="Times New Roman" w:eastAsia="Times New Roman" w:hAnsi="Times New Roman"/>
          <w:sz w:val="15"/>
          <w:szCs w:val="15"/>
          <w:color w:val="auto"/>
        </w:rPr>
        <w:t>”); (v) any “personal information” as defined by the California Consumer Privacy Act (“</w:t>
      </w:r>
      <w:r>
        <w:rPr>
          <w:rFonts w:ascii="Times New Roman" w:cs="Times New Roman" w:eastAsia="Times New Roman" w:hAnsi="Times New Roman"/>
          <w:sz w:val="15"/>
          <w:szCs w:val="15"/>
          <w:b w:val="1"/>
          <w:bCs w:val="1"/>
          <w:u w:val="single" w:color="auto"/>
          <w:color w:val="auto"/>
        </w:rPr>
        <w:t>CCPA</w:t>
      </w:r>
      <w:r>
        <w:rPr>
          <w:rFonts w:ascii="Times New Roman" w:cs="Times New Roman" w:eastAsia="Times New Roman" w:hAnsi="Times New Roman"/>
          <w:sz w:val="15"/>
          <w:szCs w:val="15"/>
          <w:color w:val="auto"/>
        </w:rPr>
        <w:t>”); and (vi) any other piece of information that allows the identification of such natural person, or his or her family, or permits the collection or analysis of any data related to an identified person’s health or sexual orientation.</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u w:val="single" w:color="auto"/>
          <w:color w:val="auto"/>
        </w:rPr>
        <w:t>Rule 164</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u w:val="single" w:color="auto"/>
          <w:color w:val="auto"/>
        </w:rPr>
        <w:t>Rule 172</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u w:val="single" w:color="auto"/>
          <w:color w:val="auto"/>
        </w:rPr>
        <w:t>Rule 405</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u w:val="single" w:color="auto"/>
          <w:color w:val="auto"/>
        </w:rPr>
        <w:t>Rule 415</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u w:val="single" w:color="auto"/>
          <w:color w:val="auto"/>
        </w:rPr>
        <w:t>Rule 424</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u w:val="single" w:color="auto"/>
          <w:color w:val="auto"/>
        </w:rPr>
        <w:t>Rule 424(b)</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u w:val="single" w:color="auto"/>
          <w:color w:val="auto"/>
        </w:rPr>
        <w:t>Rule 430B</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u w:val="single" w:color="auto"/>
          <w:color w:val="auto"/>
        </w:rPr>
        <w:t>Rule 433</w:t>
      </w:r>
      <w:r>
        <w:rPr>
          <w:rFonts w:ascii="Times New Roman" w:cs="Times New Roman" w:eastAsia="Times New Roman" w:hAnsi="Times New Roman"/>
          <w:sz w:val="15"/>
          <w:szCs w:val="15"/>
          <w:color w:val="auto"/>
        </w:rPr>
        <w:t>” refer to such rules under the Securities Act Regulations.</w:t>
      </w:r>
    </w:p>
    <w:p>
      <w:pPr>
        <w:spacing w:after="0" w:line="198" w:lineRule="exact"/>
        <w:rPr>
          <w:sz w:val="20"/>
          <w:szCs w:val="20"/>
          <w:color w:val="auto"/>
        </w:rPr>
      </w:pPr>
    </w:p>
    <w:p>
      <w:pPr>
        <w:ind w:right="220" w:firstLine="549"/>
        <w:spacing w:after="0" w:line="272" w:lineRule="auto"/>
        <w:rPr>
          <w:sz w:val="20"/>
          <w:szCs w:val="20"/>
          <w:color w:val="auto"/>
        </w:rPr>
      </w:pPr>
      <w:r>
        <w:rPr>
          <w:rFonts w:ascii="Times New Roman" w:cs="Times New Roman" w:eastAsia="Times New Roman" w:hAnsi="Times New Roman"/>
          <w:sz w:val="15"/>
          <w:szCs w:val="15"/>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46" w:lineRule="exact"/>
        <w:rPr>
          <w:sz w:val="20"/>
          <w:szCs w:val="20"/>
          <w:color w:val="auto"/>
        </w:rPr>
      </w:pPr>
    </w:p>
    <w:p>
      <w:pPr>
        <w:ind w:right="100" w:firstLine="549"/>
        <w:spacing w:after="0" w:line="263" w:lineRule="auto"/>
        <w:rPr>
          <w:sz w:val="20"/>
          <w:szCs w:val="20"/>
          <w:color w:val="auto"/>
        </w:rPr>
      </w:pPr>
      <w:r>
        <w:rPr>
          <w:rFonts w:ascii="Times New Roman" w:cs="Times New Roman" w:eastAsia="Times New Roman" w:hAnsi="Times New Roman"/>
          <w:sz w:val="15"/>
          <w:szCs w:val="15"/>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Signature Page Follows</w:t>
      </w:r>
      <w:r>
        <w:rPr>
          <w:rFonts w:ascii="Times New Roman" w:cs="Times New Roman" w:eastAsia="Times New Roman" w:hAnsi="Times New Roman"/>
          <w:sz w:val="15"/>
          <w:szCs w:val="15"/>
          <w:color w:val="auto"/>
        </w:rPr>
        <w:t>]</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93" w:name="page94"/>
    <w:bookmarkEnd w:id="93"/>
    <w:p>
      <w:pPr>
        <w:ind w:firstLine="549"/>
        <w:spacing w:after="0" w:line="290" w:lineRule="auto"/>
        <w:rPr>
          <w:sz w:val="20"/>
          <w:szCs w:val="20"/>
          <w:color w:val="auto"/>
        </w:rPr>
      </w:pPr>
      <w:r>
        <w:rPr>
          <w:rFonts w:ascii="Times New Roman" w:cs="Times New Roman" w:eastAsia="Times New Roman" w:hAnsi="Times New Roman"/>
          <w:sz w:val="15"/>
          <w:szCs w:val="15"/>
          <w:color w:val="auto"/>
        </w:rPr>
        <w:t>If the foregoing correctly sets forth the understanding between the Company and each Agent, please so indicate in the space provided below for that purpose, whereupon this letter shall constitute a binding agreement between the Company and each Agent.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0"/>
          <w:szCs w:val="10"/>
          <w:b w:val="1"/>
          <w:bCs w:val="1"/>
          <w:color w:val="auto"/>
        </w:rPr>
        <w:t>erve</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0"/>
          <w:szCs w:val="10"/>
          <w:b w:val="1"/>
          <w:bCs w:val="1"/>
          <w:color w:val="auto"/>
        </w:rPr>
        <w:t>obotics</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5"/>
          <w:szCs w:val="15"/>
          <w:b w:val="1"/>
          <w:bCs w:val="1"/>
          <w:color w:val="auto"/>
        </w:rPr>
        <w:t>.</w:t>
      </w:r>
    </w:p>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tab/>
        <w:t>/s/ Ali Kashani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15875</wp:posOffset>
            </wp:positionV>
            <wp:extent cx="2646045"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2646045" cy="14605"/>
                    </a:xfrm>
                    <a:prstGeom prst="rect">
                      <a:avLst/>
                    </a:prstGeom>
                    <a:noFill/>
                  </pic:spPr>
                </pic:pic>
              </a:graphicData>
            </a:graphic>
          </wp:anchor>
        </w:drawing>
      </w:r>
    </w:p>
    <w:p>
      <w:pPr>
        <w:spacing w:after="0" w:line="14"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5"/>
          <w:szCs w:val="15"/>
          <w:color w:val="auto"/>
        </w:rPr>
        <w:t>Name:</w:t>
        <w:tab/>
        <w:t>Ali Kashani</w:t>
      </w:r>
    </w:p>
    <w:p>
      <w:pPr>
        <w:spacing w:after="0" w:line="25"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5"/>
          <w:szCs w:val="15"/>
          <w:color w:val="auto"/>
        </w:rPr>
        <w:t>Title:</w:t>
        <w:tab/>
        <w:t>Chief Executive Officer</w:t>
      </w:r>
    </w:p>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tab/>
        <w:t>/s/ Brian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15875</wp:posOffset>
            </wp:positionV>
            <wp:extent cx="2646045"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2646045" cy="14605"/>
                    </a:xfrm>
                    <a:prstGeom prst="rect">
                      <a:avLst/>
                    </a:prstGeom>
                    <a:noFill/>
                  </pic:spPr>
                </pic:pic>
              </a:graphicData>
            </a:graphic>
          </wp:anchor>
        </w:drawing>
      </w:r>
    </w:p>
    <w:p>
      <w:pPr>
        <w:spacing w:after="0" w:line="14"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5"/>
          <w:szCs w:val="15"/>
          <w:color w:val="auto"/>
        </w:rPr>
        <w:t>Name:</w:t>
        <w:tab/>
        <w:t>Brian Read</w:t>
      </w:r>
    </w:p>
    <w:p>
      <w:pPr>
        <w:spacing w:after="0" w:line="25"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5"/>
          <w:szCs w:val="15"/>
          <w:color w:val="auto"/>
        </w:rPr>
        <w:t>Title:</w:t>
        <w:tab/>
        <w:t>Chief Financial Officer</w:t>
      </w: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Sales Agreement</w:t>
      </w:r>
      <w:r>
        <w:rPr>
          <w:rFonts w:ascii="Times New Roman" w:cs="Times New Roman" w:eastAsia="Times New Roman" w:hAnsi="Times New Roman"/>
          <w:sz w:val="15"/>
          <w:szCs w:val="15"/>
          <w:color w:val="auto"/>
        </w:rPr>
        <w:t>]</w:t>
      </w:r>
    </w:p>
    <w:p>
      <w:pPr>
        <w:spacing w:after="0" w:line="3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120"/>
          </w:cols>
          <w:pgMar w:left="320" w:top="789"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color w:val="auto"/>
        </w:rPr>
        <w:t>ACCEPTED as of the date first-above written: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0"/>
          <w:szCs w:val="10"/>
          <w:b w:val="1"/>
          <w:bCs w:val="1"/>
          <w:color w:val="auto"/>
        </w:rPr>
        <w:t>vercore</w:t>
      </w:r>
      <w:r>
        <w:rPr>
          <w:rFonts w:ascii="Times New Roman" w:cs="Times New Roman" w:eastAsia="Times New Roman" w:hAnsi="Times New Roman"/>
          <w:sz w:val="15"/>
          <w:szCs w:val="15"/>
          <w:b w:val="1"/>
          <w:bCs w:val="1"/>
          <w:color w:val="auto"/>
        </w:rPr>
        <w:t xml:space="preserve"> G</w:t>
      </w:r>
      <w:r>
        <w:rPr>
          <w:rFonts w:ascii="Times New Roman" w:cs="Times New Roman" w:eastAsia="Times New Roman" w:hAnsi="Times New Roman"/>
          <w:sz w:val="10"/>
          <w:szCs w:val="10"/>
          <w:b w:val="1"/>
          <w:bCs w:val="1"/>
          <w:color w:val="auto"/>
        </w:rPr>
        <w:t>roup</w:t>
      </w:r>
      <w:r>
        <w:rPr>
          <w:rFonts w:ascii="Times New Roman" w:cs="Times New Roman" w:eastAsia="Times New Roman" w:hAnsi="Times New Roman"/>
          <w:sz w:val="15"/>
          <w:szCs w:val="15"/>
          <w:b w:val="1"/>
          <w:bCs w:val="1"/>
          <w:color w:val="auto"/>
        </w:rPr>
        <w:t xml:space="preserve"> L.L.C.</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Stella Yoo</w:t>
            </w:r>
          </w:p>
        </w:tc>
      </w:tr>
      <w:tr>
        <w:trPr>
          <w:trHeight w:val="169"/>
        </w:trPr>
        <w:tc>
          <w:tcPr>
            <w:tcW w:w="340" w:type="dxa"/>
            <w:vAlign w:val="bottom"/>
          </w:tcPr>
          <w:p>
            <w:pPr>
              <w:spacing w:after="0"/>
              <w:rPr>
                <w:sz w:val="14"/>
                <w:szCs w:val="14"/>
                <w:color w:val="auto"/>
              </w:rPr>
            </w:pPr>
          </w:p>
        </w:tc>
        <w:tc>
          <w:tcPr>
            <w:tcW w:w="4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Name:</w:t>
            </w:r>
          </w:p>
        </w:tc>
        <w:tc>
          <w:tcPr>
            <w:tcW w:w="3680" w:type="dxa"/>
            <w:vAlign w:val="bottom"/>
          </w:tcPr>
          <w:p>
            <w:pPr>
              <w:ind w:left="80"/>
              <w:spacing w:after="0" w:line="169" w:lineRule="exact"/>
              <w:rPr>
                <w:sz w:val="20"/>
                <w:szCs w:val="20"/>
                <w:color w:val="auto"/>
              </w:rPr>
            </w:pPr>
            <w:r>
              <w:rPr>
                <w:rFonts w:ascii="Times New Roman" w:cs="Times New Roman" w:eastAsia="Times New Roman" w:hAnsi="Times New Roman"/>
                <w:sz w:val="15"/>
                <w:szCs w:val="15"/>
                <w:color w:val="auto"/>
              </w:rPr>
              <w:t>Stella Yoo</w:t>
            </w:r>
          </w:p>
        </w:tc>
      </w:tr>
      <w:tr>
        <w:trPr>
          <w:trHeight w:val="198"/>
        </w:trPr>
        <w:tc>
          <w:tcPr>
            <w:tcW w:w="3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Managing Director</w:t>
            </w:r>
          </w:p>
        </w:tc>
      </w:tr>
      <w:tr>
        <w:trPr>
          <w:trHeight w:val="366"/>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G</w:t>
            </w:r>
            <w:r>
              <w:rPr>
                <w:rFonts w:ascii="Times New Roman" w:cs="Times New Roman" w:eastAsia="Times New Roman" w:hAnsi="Times New Roman"/>
                <w:sz w:val="10"/>
                <w:szCs w:val="10"/>
                <w:b w:val="1"/>
                <w:bCs w:val="1"/>
                <w:color w:val="auto"/>
              </w:rPr>
              <w:t>uggenheim</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0"/>
                <w:szCs w:val="10"/>
                <w:b w:val="1"/>
                <w:bCs w:val="1"/>
                <w:color w:val="auto"/>
              </w:rPr>
              <w:t>ecurities</w:t>
            </w:r>
            <w:r>
              <w:rPr>
                <w:rFonts w:ascii="Times New Roman" w:cs="Times New Roman" w:eastAsia="Times New Roman" w:hAnsi="Times New Roman"/>
                <w:sz w:val="15"/>
                <w:szCs w:val="15"/>
                <w:b w:val="1"/>
                <w:bCs w:val="1"/>
                <w:color w:val="auto"/>
              </w:rPr>
              <w:t>, LLC</w:t>
            </w:r>
          </w:p>
        </w:tc>
      </w:tr>
      <w:tr>
        <w:trPr>
          <w:trHeight w:val="369"/>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John Casesa</w:t>
            </w:r>
          </w:p>
        </w:tc>
      </w:tr>
      <w:tr>
        <w:trPr>
          <w:trHeight w:val="169"/>
        </w:trPr>
        <w:tc>
          <w:tcPr>
            <w:tcW w:w="340" w:type="dxa"/>
            <w:vAlign w:val="bottom"/>
          </w:tcPr>
          <w:p>
            <w:pPr>
              <w:spacing w:after="0"/>
              <w:rPr>
                <w:sz w:val="14"/>
                <w:szCs w:val="14"/>
                <w:color w:val="auto"/>
              </w:rPr>
            </w:pPr>
          </w:p>
        </w:tc>
        <w:tc>
          <w:tcPr>
            <w:tcW w:w="4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Name:</w:t>
            </w:r>
          </w:p>
        </w:tc>
        <w:tc>
          <w:tcPr>
            <w:tcW w:w="3680" w:type="dxa"/>
            <w:vAlign w:val="bottom"/>
          </w:tcPr>
          <w:p>
            <w:pPr>
              <w:ind w:left="80"/>
              <w:spacing w:after="0" w:line="169" w:lineRule="exact"/>
              <w:rPr>
                <w:sz w:val="20"/>
                <w:szCs w:val="20"/>
                <w:color w:val="auto"/>
              </w:rPr>
            </w:pPr>
            <w:r>
              <w:rPr>
                <w:rFonts w:ascii="Times New Roman" w:cs="Times New Roman" w:eastAsia="Times New Roman" w:hAnsi="Times New Roman"/>
                <w:sz w:val="15"/>
                <w:szCs w:val="15"/>
                <w:color w:val="auto"/>
              </w:rPr>
              <w:t>John Casesa</w:t>
            </w:r>
          </w:p>
        </w:tc>
      </w:tr>
      <w:tr>
        <w:trPr>
          <w:trHeight w:val="198"/>
        </w:trPr>
        <w:tc>
          <w:tcPr>
            <w:tcW w:w="3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Senior Managing Director</w:t>
            </w:r>
          </w:p>
        </w:tc>
      </w:tr>
      <w:tr>
        <w:trPr>
          <w:trHeight w:val="366"/>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0"/>
                <w:szCs w:val="10"/>
                <w:b w:val="1"/>
                <w:bCs w:val="1"/>
                <w:color w:val="auto"/>
              </w:rPr>
              <w:t>ppenheimer</w:t>
            </w:r>
            <w:r>
              <w:rPr>
                <w:rFonts w:ascii="Times New Roman" w:cs="Times New Roman" w:eastAsia="Times New Roman" w:hAnsi="Times New Roman"/>
                <w:sz w:val="15"/>
                <w:szCs w:val="15"/>
                <w:b w:val="1"/>
                <w:bCs w:val="1"/>
                <w:color w:val="auto"/>
              </w:rPr>
              <w:t xml:space="preserve"> &amp; C</w:t>
            </w:r>
            <w:r>
              <w:rPr>
                <w:rFonts w:ascii="Times New Roman" w:cs="Times New Roman" w:eastAsia="Times New Roman" w:hAnsi="Times New Roman"/>
                <w:sz w:val="10"/>
                <w:szCs w:val="10"/>
                <w:b w:val="1"/>
                <w:bCs w:val="1"/>
                <w:color w:val="auto"/>
              </w:rPr>
              <w:t>o</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5"/>
                <w:szCs w:val="15"/>
                <w:b w:val="1"/>
                <w:bCs w:val="1"/>
                <w:color w:val="auto"/>
              </w:rPr>
              <w:t>.</w:t>
            </w:r>
          </w:p>
        </w:tc>
      </w:tr>
      <w:tr>
        <w:trPr>
          <w:trHeight w:val="369"/>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Chris DeFalco</w:t>
            </w:r>
          </w:p>
        </w:tc>
      </w:tr>
      <w:tr>
        <w:trPr>
          <w:trHeight w:val="169"/>
        </w:trPr>
        <w:tc>
          <w:tcPr>
            <w:tcW w:w="340" w:type="dxa"/>
            <w:vAlign w:val="bottom"/>
          </w:tcPr>
          <w:p>
            <w:pPr>
              <w:spacing w:after="0"/>
              <w:rPr>
                <w:sz w:val="14"/>
                <w:szCs w:val="14"/>
                <w:color w:val="auto"/>
              </w:rPr>
            </w:pPr>
          </w:p>
        </w:tc>
        <w:tc>
          <w:tcPr>
            <w:tcW w:w="4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Name:</w:t>
            </w:r>
          </w:p>
        </w:tc>
        <w:tc>
          <w:tcPr>
            <w:tcW w:w="3680" w:type="dxa"/>
            <w:vAlign w:val="bottom"/>
          </w:tcPr>
          <w:p>
            <w:pPr>
              <w:ind w:left="80"/>
              <w:spacing w:after="0" w:line="169" w:lineRule="exact"/>
              <w:rPr>
                <w:sz w:val="20"/>
                <w:szCs w:val="20"/>
                <w:color w:val="auto"/>
              </w:rPr>
            </w:pPr>
            <w:r>
              <w:rPr>
                <w:rFonts w:ascii="Times New Roman" w:cs="Times New Roman" w:eastAsia="Times New Roman" w:hAnsi="Times New Roman"/>
                <w:sz w:val="15"/>
                <w:szCs w:val="15"/>
                <w:color w:val="auto"/>
              </w:rPr>
              <w:t>Chris DeFalco</w:t>
            </w:r>
          </w:p>
        </w:tc>
      </w:tr>
      <w:tr>
        <w:trPr>
          <w:trHeight w:val="183"/>
        </w:trPr>
        <w:tc>
          <w:tcPr>
            <w:tcW w:w="3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Managing Director and Co-Head of Equity Capital</w:t>
            </w:r>
          </w:p>
        </w:tc>
      </w:tr>
      <w:tr>
        <w:trPr>
          <w:trHeight w:val="198"/>
        </w:trPr>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Markets</w:t>
            </w:r>
          </w:p>
        </w:tc>
      </w:tr>
      <w:tr>
        <w:trPr>
          <w:trHeight w:val="366"/>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w:t>
            </w:r>
            <w:r>
              <w:rPr>
                <w:rFonts w:ascii="Times New Roman" w:cs="Times New Roman" w:eastAsia="Times New Roman" w:hAnsi="Times New Roman"/>
                <w:sz w:val="10"/>
                <w:szCs w:val="10"/>
                <w:b w:val="1"/>
                <w:bCs w:val="1"/>
                <w:color w:val="auto"/>
              </w:rPr>
              <w:t>orthland</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0"/>
                <w:szCs w:val="10"/>
                <w:b w:val="1"/>
                <w:bCs w:val="1"/>
                <w:color w:val="auto"/>
              </w:rPr>
              <w:t>ecurities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5"/>
                <w:szCs w:val="15"/>
                <w:b w:val="1"/>
                <w:bCs w:val="1"/>
                <w:color w:val="auto"/>
              </w:rPr>
              <w:t>.</w:t>
            </w:r>
          </w:p>
        </w:tc>
      </w:tr>
      <w:tr>
        <w:trPr>
          <w:trHeight w:val="369"/>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Jeff Peterson</w:t>
            </w:r>
          </w:p>
        </w:tc>
      </w:tr>
      <w:tr>
        <w:trPr>
          <w:trHeight w:val="169"/>
        </w:trPr>
        <w:tc>
          <w:tcPr>
            <w:tcW w:w="340" w:type="dxa"/>
            <w:vAlign w:val="bottom"/>
          </w:tcPr>
          <w:p>
            <w:pPr>
              <w:spacing w:after="0"/>
              <w:rPr>
                <w:sz w:val="14"/>
                <w:szCs w:val="14"/>
                <w:color w:val="auto"/>
              </w:rPr>
            </w:pPr>
          </w:p>
        </w:tc>
        <w:tc>
          <w:tcPr>
            <w:tcW w:w="4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Name:</w:t>
            </w:r>
          </w:p>
        </w:tc>
        <w:tc>
          <w:tcPr>
            <w:tcW w:w="3680" w:type="dxa"/>
            <w:vAlign w:val="bottom"/>
          </w:tcPr>
          <w:p>
            <w:pPr>
              <w:ind w:left="80"/>
              <w:spacing w:after="0" w:line="169" w:lineRule="exact"/>
              <w:rPr>
                <w:sz w:val="20"/>
                <w:szCs w:val="20"/>
                <w:color w:val="auto"/>
              </w:rPr>
            </w:pPr>
            <w:r>
              <w:rPr>
                <w:rFonts w:ascii="Times New Roman" w:cs="Times New Roman" w:eastAsia="Times New Roman" w:hAnsi="Times New Roman"/>
                <w:sz w:val="15"/>
                <w:szCs w:val="15"/>
                <w:color w:val="auto"/>
              </w:rPr>
              <w:t>Jeff Peterson</w:t>
            </w:r>
          </w:p>
        </w:tc>
      </w:tr>
      <w:tr>
        <w:trPr>
          <w:trHeight w:val="198"/>
        </w:trPr>
        <w:tc>
          <w:tcPr>
            <w:tcW w:w="3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Managing Director</w:t>
            </w:r>
          </w:p>
        </w:tc>
      </w:tr>
      <w:tr>
        <w:trPr>
          <w:trHeight w:val="366"/>
        </w:trPr>
        <w:tc>
          <w:tcPr>
            <w:tcW w:w="45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W</w:t>
            </w:r>
            <w:r>
              <w:rPr>
                <w:rFonts w:ascii="Times New Roman" w:cs="Times New Roman" w:eastAsia="Times New Roman" w:hAnsi="Times New Roman"/>
                <w:sz w:val="10"/>
                <w:szCs w:val="10"/>
                <w:b w:val="1"/>
                <w:bCs w:val="1"/>
                <w:color w:val="auto"/>
              </w:rPr>
              <w:t>edbush</w:t>
            </w:r>
            <w:r>
              <w:rPr>
                <w:rFonts w:ascii="Times New Roman" w:cs="Times New Roman" w:eastAsia="Times New Roman" w:hAnsi="Times New Roman"/>
                <w:sz w:val="15"/>
                <w:szCs w:val="15"/>
                <w:b w:val="1"/>
                <w:bCs w:val="1"/>
                <w:color w:val="auto"/>
              </w:rPr>
              <w:t xml:space="preserve"> S</w:t>
            </w:r>
            <w:r>
              <w:rPr>
                <w:rFonts w:ascii="Times New Roman" w:cs="Times New Roman" w:eastAsia="Times New Roman" w:hAnsi="Times New Roman"/>
                <w:sz w:val="10"/>
                <w:szCs w:val="10"/>
                <w:b w:val="1"/>
                <w:bCs w:val="1"/>
                <w:color w:val="auto"/>
              </w:rPr>
              <w:t>ecurities</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5"/>
                <w:szCs w:val="15"/>
                <w:b w:val="1"/>
                <w:bCs w:val="1"/>
                <w:color w:val="auto"/>
              </w:rPr>
              <w:t>.</w:t>
            </w:r>
          </w:p>
        </w:tc>
      </w:tr>
      <w:tr>
        <w:trPr>
          <w:trHeight w:val="369"/>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4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/s/ Burke Dempsey</w:t>
            </w:r>
          </w:p>
        </w:tc>
      </w:tr>
      <w:tr>
        <w:trPr>
          <w:trHeight w:val="169"/>
        </w:trPr>
        <w:tc>
          <w:tcPr>
            <w:tcW w:w="340" w:type="dxa"/>
            <w:vAlign w:val="bottom"/>
          </w:tcPr>
          <w:p>
            <w:pPr>
              <w:spacing w:after="0"/>
              <w:rPr>
                <w:sz w:val="14"/>
                <w:szCs w:val="14"/>
                <w:color w:val="auto"/>
              </w:rPr>
            </w:pPr>
          </w:p>
        </w:tc>
        <w:tc>
          <w:tcPr>
            <w:tcW w:w="48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Name:</w:t>
            </w:r>
          </w:p>
        </w:tc>
        <w:tc>
          <w:tcPr>
            <w:tcW w:w="3680" w:type="dxa"/>
            <w:vAlign w:val="bottom"/>
          </w:tcPr>
          <w:p>
            <w:pPr>
              <w:ind w:left="80"/>
              <w:spacing w:after="0" w:line="169" w:lineRule="exact"/>
              <w:rPr>
                <w:sz w:val="20"/>
                <w:szCs w:val="20"/>
                <w:color w:val="auto"/>
              </w:rPr>
            </w:pPr>
            <w:r>
              <w:rPr>
                <w:rFonts w:ascii="Times New Roman" w:cs="Times New Roman" w:eastAsia="Times New Roman" w:hAnsi="Times New Roman"/>
                <w:sz w:val="15"/>
                <w:szCs w:val="15"/>
                <w:color w:val="auto"/>
              </w:rPr>
              <w:t>Burke Dempsey</w:t>
            </w:r>
          </w:p>
        </w:tc>
      </w:tr>
      <w:tr>
        <w:trPr>
          <w:trHeight w:val="183"/>
        </w:trPr>
        <w:tc>
          <w:tcPr>
            <w:tcW w:w="34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3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Executive Vice President,</w:t>
            </w:r>
          </w:p>
        </w:tc>
      </w:tr>
      <w:tr>
        <w:trPr>
          <w:trHeight w:val="183"/>
        </w:trPr>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Head of Investment Banking &amp;</w:t>
            </w:r>
          </w:p>
        </w:tc>
      </w:tr>
      <w:tr>
        <w:trPr>
          <w:trHeight w:val="198"/>
        </w:trPr>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80" w:type="dxa"/>
            <w:vAlign w:val="bottom"/>
          </w:tcPr>
          <w:p>
            <w:pPr>
              <w:ind w:left="80"/>
              <w:spacing w:after="0"/>
              <w:rPr>
                <w:sz w:val="20"/>
                <w:szCs w:val="20"/>
                <w:color w:val="auto"/>
              </w:rPr>
            </w:pPr>
            <w:r>
              <w:rPr>
                <w:rFonts w:ascii="Times New Roman" w:cs="Times New Roman" w:eastAsia="Times New Roman" w:hAnsi="Times New Roman"/>
                <w:sz w:val="15"/>
                <w:szCs w:val="15"/>
                <w:color w:val="auto"/>
              </w:rPr>
              <w:t>Capital Markets</w:t>
            </w:r>
          </w:p>
        </w:tc>
      </w:tr>
    </w:tbl>
    <w:p>
      <w:pPr>
        <w:spacing w:after="0" w:line="164" w:lineRule="exact"/>
        <w:rPr>
          <w:sz w:val="20"/>
          <w:szCs w:val="20"/>
          <w:color w:val="auto"/>
        </w:rPr>
      </w:pPr>
    </w:p>
    <w:p>
      <w:pPr>
        <w:jc w:val="right"/>
        <w:ind w:right="339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Sales Agreement</w:t>
      </w:r>
      <w:r>
        <w:rPr>
          <w:rFonts w:ascii="Times New Roman" w:cs="Times New Roman" w:eastAsia="Times New Roman" w:hAnsi="Times New Roman"/>
          <w:sz w:val="15"/>
          <w:szCs w:val="15"/>
          <w:color w:val="auto"/>
        </w:rPr>
        <w:t>]</w:t>
      </w:r>
    </w:p>
    <w:p>
      <w:pPr>
        <w:spacing w:after="0" w:line="3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139"/>
          </w:cols>
          <w:pgMar w:left="320" w:top="972"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Schedule 1</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Form of Placement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15875</wp:posOffset>
            </wp:positionV>
            <wp:extent cx="7153275"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9019"/>
          </w:cols>
          <w:pgMar w:left="1440" w:top="785" w:right="1440"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Schedule 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15875</wp:posOffset>
            </wp:positionV>
            <wp:extent cx="7153275"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9019"/>
          </w:cols>
          <w:pgMar w:left="1440" w:top="785" w:right="144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Schedule 3</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Notice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15875</wp:posOffset>
            </wp:positionV>
            <wp:extent cx="7153275"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9019"/>
          </w:cols>
          <w:pgMar w:left="1440" w:top="785"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Schedule 6(m)</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 Preferential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15875</wp:posOffset>
            </wp:positionV>
            <wp:extent cx="7153275"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9019"/>
          </w:cols>
          <w:pgMar w:left="1440" w:top="785" w:right="1440" w:bottom="1440" w:gutter="0" w:footer="0" w:header="0"/>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21</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Permitted Free Writing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15875</wp:posOffset>
            </wp:positionV>
            <wp:extent cx="7153275"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9019"/>
          </w:cols>
          <w:pgMar w:left="1440" w:top="785"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SERVE ROBOTICS INC.</w:t>
      </w:r>
    </w:p>
    <w:p>
      <w:pPr>
        <w:spacing w:after="0" w:line="19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9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2230120</wp:posOffset>
            </wp:positionH>
            <wp:positionV relativeFrom="paragraph">
              <wp:posOffset>-2540</wp:posOffset>
            </wp:positionV>
            <wp:extent cx="123507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1235075" cy="6985"/>
                    </a:xfrm>
                    <a:prstGeom prst="rect">
                      <a:avLst/>
                    </a:prstGeom>
                    <a:noFill/>
                  </pic:spPr>
                </pic:pic>
              </a:graphicData>
            </a:graphic>
          </wp:anchor>
        </w:drawing>
      </w:r>
    </w:p>
    <w:p>
      <w:pPr>
        <w:spacing w:after="0" w:line="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as Trustee</w:t>
      </w:r>
    </w:p>
    <w:p>
      <w:pPr>
        <w:spacing w:after="0" w:line="17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5"/>
          <w:szCs w:val="15"/>
          <w:b w:val="1"/>
          <w:bCs w:val="1"/>
          <w:color w:val="auto"/>
        </w:rPr>
        <w:t>INDENTURE</w:t>
      </w:r>
    </w:p>
    <w:p>
      <w:pPr>
        <w:spacing w:after="0" w:line="19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5"/>
          <w:szCs w:val="15"/>
          <w:b w:val="1"/>
          <w:bCs w:val="1"/>
          <w:color w:val="auto"/>
        </w:rPr>
        <w:t>Dated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-2540</wp:posOffset>
            </wp:positionV>
            <wp:extent cx="75057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50570" cy="6985"/>
                    </a:xfrm>
                    <a:prstGeom prst="rect">
                      <a:avLst/>
                    </a:prstGeom>
                    <a:noFill/>
                  </pic:spPr>
                </pic:pic>
              </a:graphicData>
            </a:graphic>
          </wp:anchor>
        </w:drawing>
      </w:r>
    </w:p>
    <w:p>
      <w:pPr>
        <w:spacing w:after="0" w:line="17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847090</wp:posOffset>
            </wp:positionV>
            <wp:extent cx="7153275"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0140"/>
          </w:cols>
          <w:pgMar w:left="1440" w:top="114" w:right="3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3"/>
        </w:trPr>
        <w:tc>
          <w:tcPr>
            <w:tcW w:w="10360" w:type="dxa"/>
            <w:vAlign w:val="bottom"/>
            <w:gridSpan w:val="2"/>
          </w:tcPr>
          <w:p>
            <w:pPr>
              <w:jc w:val="center"/>
              <w:ind w:left="804"/>
              <w:spacing w:after="0"/>
              <w:rPr>
                <w:sz w:val="20"/>
                <w:szCs w:val="20"/>
                <w:color w:val="auto"/>
              </w:rPr>
            </w:pPr>
            <w:r>
              <w:rPr>
                <w:rFonts w:ascii="Times New Roman" w:cs="Times New Roman" w:eastAsia="Times New Roman" w:hAnsi="Times New Roman"/>
                <w:sz w:val="15"/>
                <w:szCs w:val="15"/>
                <w:color w:val="auto"/>
              </w:rPr>
              <w:t>Reconciliation and tie between</w:t>
            </w:r>
          </w:p>
        </w:tc>
        <w:tc>
          <w:tcPr>
            <w:tcW w:w="900" w:type="dxa"/>
            <w:vAlign w:val="bottom"/>
          </w:tcPr>
          <w:p>
            <w:pPr>
              <w:spacing w:after="0"/>
              <w:rPr>
                <w:sz w:val="15"/>
                <w:szCs w:val="15"/>
                <w:color w:val="auto"/>
              </w:rPr>
            </w:pPr>
          </w:p>
        </w:tc>
      </w:tr>
      <w:tr>
        <w:trPr>
          <w:trHeight w:val="183"/>
        </w:trPr>
        <w:tc>
          <w:tcPr>
            <w:tcW w:w="10360" w:type="dxa"/>
            <w:vAlign w:val="bottom"/>
            <w:gridSpan w:val="2"/>
          </w:tcPr>
          <w:p>
            <w:pPr>
              <w:jc w:val="center"/>
              <w:ind w:left="824"/>
              <w:spacing w:after="0"/>
              <w:rPr>
                <w:sz w:val="20"/>
                <w:szCs w:val="20"/>
                <w:color w:val="auto"/>
              </w:rPr>
            </w:pPr>
            <w:r>
              <w:rPr>
                <w:rFonts w:ascii="Times New Roman" w:cs="Times New Roman" w:eastAsia="Times New Roman" w:hAnsi="Times New Roman"/>
                <w:sz w:val="15"/>
                <w:szCs w:val="15"/>
                <w:color w:val="auto"/>
              </w:rPr>
              <w:t>Trust Indenture Act of 1939, as amended,</w:t>
            </w:r>
          </w:p>
        </w:tc>
        <w:tc>
          <w:tcPr>
            <w:tcW w:w="900" w:type="dxa"/>
            <w:vAlign w:val="bottom"/>
          </w:tcPr>
          <w:p>
            <w:pPr>
              <w:spacing w:after="0"/>
              <w:rPr>
                <w:sz w:val="15"/>
                <w:szCs w:val="15"/>
                <w:color w:val="auto"/>
              </w:rPr>
            </w:pPr>
          </w:p>
        </w:tc>
      </w:tr>
      <w:tr>
        <w:trPr>
          <w:trHeight w:val="198"/>
        </w:trPr>
        <w:tc>
          <w:tcPr>
            <w:tcW w:w="10360" w:type="dxa"/>
            <w:vAlign w:val="bottom"/>
            <w:gridSpan w:val="2"/>
          </w:tcPr>
          <w:p>
            <w:pPr>
              <w:jc w:val="center"/>
              <w:ind w:left="824"/>
              <w:spacing w:after="0"/>
              <w:rPr>
                <w:sz w:val="20"/>
                <w:szCs w:val="20"/>
                <w:color w:val="auto"/>
              </w:rPr>
            </w:pPr>
            <w:r>
              <w:rPr>
                <w:rFonts w:ascii="Times New Roman" w:cs="Times New Roman" w:eastAsia="Times New Roman" w:hAnsi="Times New Roman"/>
                <w:sz w:val="15"/>
                <w:szCs w:val="15"/>
                <w:color w:val="auto"/>
              </w:rPr>
              <w:t>and the Indenture</w:t>
            </w:r>
          </w:p>
        </w:tc>
        <w:tc>
          <w:tcPr>
            <w:tcW w:w="900" w:type="dxa"/>
            <w:vAlign w:val="bottom"/>
          </w:tcPr>
          <w:p>
            <w:pPr>
              <w:spacing w:after="0"/>
              <w:rPr>
                <w:sz w:val="17"/>
                <w:szCs w:val="17"/>
                <w:color w:val="auto"/>
              </w:rPr>
            </w:pPr>
          </w:p>
        </w:tc>
      </w:tr>
      <w:tr>
        <w:trPr>
          <w:trHeight w:val="352"/>
        </w:trPr>
        <w:tc>
          <w:tcPr>
            <w:tcW w:w="10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Indenture</w:t>
            </w:r>
          </w:p>
        </w:tc>
      </w:tr>
      <w:tr>
        <w:trPr>
          <w:trHeight w:val="201"/>
        </w:trPr>
        <w:tc>
          <w:tcPr>
            <w:tcW w:w="10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Trust Indenture Act Section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Section</w:t>
            </w:r>
          </w:p>
        </w:tc>
      </w:tr>
      <w:tr>
        <w:trPr>
          <w:trHeight w:val="183"/>
        </w:trPr>
        <w:tc>
          <w:tcPr>
            <w:tcW w:w="10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§310(a)(1)</w:t>
            </w: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6.8</w:t>
            </w:r>
          </w:p>
        </w:tc>
      </w:tr>
      <w:tr>
        <w:trPr>
          <w:trHeight w:val="183"/>
        </w:trPr>
        <w:tc>
          <w:tcPr>
            <w:tcW w:w="10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6.8</w:t>
            </w:r>
          </w:p>
        </w:tc>
      </w:tr>
      <w:tr>
        <w:trPr>
          <w:trHeight w:val="183"/>
        </w:trPr>
        <w:tc>
          <w:tcPr>
            <w:tcW w:w="10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(b)</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6.9</w:t>
            </w:r>
          </w:p>
        </w:tc>
      </w:tr>
      <w:tr>
        <w:trPr>
          <w:trHeight w:val="183"/>
        </w:trPr>
        <w:tc>
          <w:tcPr>
            <w:tcW w:w="10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§312(a)</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7.1</w:t>
            </w:r>
          </w:p>
        </w:tc>
      </w:tr>
      <w:tr>
        <w:trPr>
          <w:trHeight w:val="183"/>
        </w:trPr>
        <w:tc>
          <w:tcPr>
            <w:tcW w:w="10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(b)</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7.2</w:t>
            </w:r>
          </w:p>
        </w:tc>
      </w:tr>
      <w:tr>
        <w:trPr>
          <w:trHeight w:val="183"/>
        </w:trPr>
        <w:tc>
          <w:tcPr>
            <w:tcW w:w="10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7.2</w:t>
            </w:r>
          </w:p>
        </w:tc>
      </w:tr>
      <w:tr>
        <w:trPr>
          <w:trHeight w:val="183"/>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§313(a)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7.3</w:t>
            </w:r>
          </w:p>
        </w:tc>
      </w:tr>
      <w:tr>
        <w:trPr>
          <w:trHeight w:val="183"/>
        </w:trPr>
        <w:tc>
          <w:tcPr>
            <w:tcW w:w="10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(b)(2)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7.3</w:t>
            </w:r>
          </w:p>
        </w:tc>
      </w:tr>
      <w:tr>
        <w:trPr>
          <w:trHeight w:val="183"/>
        </w:trPr>
        <w:tc>
          <w:tcPr>
            <w:tcW w:w="10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7.3</w:t>
            </w:r>
          </w:p>
        </w:tc>
      </w:tr>
      <w:tr>
        <w:trPr>
          <w:trHeight w:val="183"/>
        </w:trPr>
        <w:tc>
          <w:tcPr>
            <w:tcW w:w="10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(d)</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7.3</w:t>
            </w:r>
          </w:p>
        </w:tc>
      </w:tr>
      <w:tr>
        <w:trPr>
          <w:trHeight w:val="183"/>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§314(a)</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7.4</w:t>
            </w:r>
          </w:p>
        </w:tc>
      </w:tr>
      <w:tr>
        <w:trPr>
          <w:trHeight w:val="183"/>
        </w:trPr>
        <w:tc>
          <w:tcPr>
            <w:tcW w:w="10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(c)(1)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1.2</w:t>
            </w:r>
          </w:p>
        </w:tc>
      </w:tr>
      <w:tr>
        <w:trPr>
          <w:trHeight w:val="183"/>
        </w:trPr>
        <w:tc>
          <w:tcPr>
            <w:tcW w:w="10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(c)(2)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1.2</w:t>
            </w:r>
          </w:p>
        </w:tc>
      </w:tr>
      <w:tr>
        <w:trPr>
          <w:trHeight w:val="183"/>
        </w:trPr>
        <w:tc>
          <w:tcPr>
            <w:tcW w:w="10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(e)</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1.2</w:t>
            </w:r>
          </w:p>
        </w:tc>
      </w:tr>
      <w:tr>
        <w:trPr>
          <w:trHeight w:val="183"/>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§316(a) (last sentence)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1.1</w:t>
            </w:r>
          </w:p>
        </w:tc>
      </w:tr>
      <w:tr>
        <w:trPr>
          <w:trHeight w:val="183"/>
        </w:trPr>
        <w:tc>
          <w:tcPr>
            <w:tcW w:w="10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(a)(1)(A)</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5.2, 5.12</w:t>
            </w:r>
          </w:p>
        </w:tc>
      </w:tr>
      <w:tr>
        <w:trPr>
          <w:trHeight w:val="183"/>
        </w:trPr>
        <w:tc>
          <w:tcPr>
            <w:tcW w:w="10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(a)(1)(B)</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5.13</w:t>
            </w:r>
          </w:p>
        </w:tc>
      </w:tr>
      <w:tr>
        <w:trPr>
          <w:trHeight w:val="183"/>
        </w:trPr>
        <w:tc>
          <w:tcPr>
            <w:tcW w:w="10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(b)</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5.8</w:t>
            </w:r>
          </w:p>
        </w:tc>
      </w:tr>
      <w:tr>
        <w:trPr>
          <w:trHeight w:val="183"/>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§317(a)(1)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5.3</w:t>
            </w:r>
          </w:p>
        </w:tc>
      </w:tr>
      <w:tr>
        <w:trPr>
          <w:trHeight w:val="183"/>
        </w:trPr>
        <w:tc>
          <w:tcPr>
            <w:tcW w:w="103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(a)(2)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5.4</w:t>
            </w:r>
          </w:p>
        </w:tc>
      </w:tr>
      <w:tr>
        <w:trPr>
          <w:trHeight w:val="183"/>
        </w:trPr>
        <w:tc>
          <w:tcPr>
            <w:tcW w:w="103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5"/>
                <w:szCs w:val="15"/>
                <w:color w:val="auto"/>
              </w:rPr>
              <w:t>(b)</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10.3</w:t>
            </w:r>
          </w:p>
        </w:tc>
      </w:tr>
      <w:tr>
        <w:trPr>
          <w:trHeight w:val="183"/>
        </w:trPr>
        <w:tc>
          <w:tcPr>
            <w:tcW w:w="103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§318(a)</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5"/>
              </w:rPr>
              <w:t>1.8</w:t>
            </w:r>
          </w:p>
        </w:tc>
      </w:tr>
      <w:tr>
        <w:trPr>
          <w:trHeight w:val="183"/>
        </w:trPr>
        <w:tc>
          <w:tcPr>
            <w:tcW w:w="10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Note: This reconciliation and tie shall not, for any purpose, be deemed to be part of the Indenture.</w:t>
            </w:r>
          </w:p>
        </w:tc>
        <w:tc>
          <w:tcPr>
            <w:tcW w:w="900" w:type="dxa"/>
            <w:vAlign w:val="bottom"/>
            <w:shd w:val="clear" w:color="auto" w:fill="CCEEFF"/>
          </w:tcPr>
          <w:p>
            <w:pPr>
              <w:spacing w:after="0"/>
              <w:rPr>
                <w:sz w:val="15"/>
                <w:szCs w:val="15"/>
                <w:color w:val="auto"/>
              </w:rPr>
            </w:pPr>
          </w:p>
        </w:tc>
      </w:tr>
      <w:tr>
        <w:trPr>
          <w:trHeight w:val="575"/>
        </w:trPr>
        <w:tc>
          <w:tcPr>
            <w:tcW w:w="10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9" w:right="3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20" w:type="dxa"/>
            <w:vAlign w:val="bottom"/>
          </w:tcPr>
          <w:p>
            <w:pPr>
              <w:spacing w:after="0"/>
              <w:rPr>
                <w:sz w:val="17"/>
                <w:szCs w:val="17"/>
                <w:color w:val="auto"/>
              </w:rPr>
            </w:pPr>
          </w:p>
        </w:tc>
        <w:tc>
          <w:tcPr>
            <w:tcW w:w="7920" w:type="dxa"/>
            <w:vAlign w:val="bottom"/>
          </w:tcPr>
          <w:p>
            <w:pPr>
              <w:ind w:left="258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1120" w:type="dxa"/>
            <w:vAlign w:val="bottom"/>
          </w:tcPr>
          <w:p>
            <w:pPr>
              <w:spacing w:after="0"/>
              <w:rPr>
                <w:sz w:val="17"/>
                <w:szCs w:val="17"/>
                <w:color w:val="auto"/>
              </w:rPr>
            </w:pPr>
          </w:p>
        </w:tc>
      </w:tr>
      <w:tr>
        <w:trPr>
          <w:trHeight w:val="380"/>
        </w:trPr>
        <w:tc>
          <w:tcPr>
            <w:tcW w:w="22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1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1 DEFINITIONS AND OTHER PROVISIONS OF GENERAL APPLICATION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Definitions; Rules of Construction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1.2</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Compliance Certificates and Opinions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10</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1.3</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Form of Documents Delivered to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1.4</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Acts of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12</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1.5</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Notices, etc., to Trustee and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1.6</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Notice to Holders of Securities; Waiver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13</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1.7</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Language of Notices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1.8</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Incorporation by Reference of Trust Indenture Act; Trust Indenture Act Controls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1.9</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Effect of Headings and Table of Contents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1.10</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Successors and Assigns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1.11</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Separability Clause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1.12</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Benefits of Indenture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1.13</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Governing Law; Waiver of Trial by Jury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1.14</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Legal Holidays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15</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1.15</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Counterparts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1.16</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Judgment Currency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1.17</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Limitation on Individual Liability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2 SECURITIES FORMS</w:t>
            </w:r>
          </w:p>
        </w:tc>
        <w:tc>
          <w:tcPr>
            <w:tcW w:w="79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2.1</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Forms Generally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2.2</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Form of Trustee’s Certificate of Authentication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17</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2.3</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Securities in Global Form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18</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3 THE SECURITIES</w:t>
            </w:r>
          </w:p>
        </w:tc>
        <w:tc>
          <w:tcPr>
            <w:tcW w:w="79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Amount Unlimited; Issuable in Series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19</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3.2</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Currency; Denominations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3.3</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Execution, Authentication, Delivery and Dating</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22</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3.4</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Temporary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23</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3.5</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Registration, Transfer and Exchange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24</w:t>
            </w:r>
          </w:p>
        </w:tc>
      </w:tr>
      <w:tr>
        <w:trPr>
          <w:trHeight w:val="183"/>
        </w:trPr>
        <w:tc>
          <w:tcPr>
            <w:tcW w:w="222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3.6</w:t>
            </w:r>
          </w:p>
        </w:tc>
        <w:tc>
          <w:tcPr>
            <w:tcW w:w="7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Mutilated, Destroyed, Lost and Stolen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27</w:t>
            </w: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3.7</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Payment of Interest and Certain Additional Amounts; Rights to Interest and Certain Additional Amounts Preserved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28</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3.8</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Persons Deemed Owners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29</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3.9</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Cancellation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3.10</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Computation of Interest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3.11</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CUSIP and ISIN Numbers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101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4 SATISFACTION AND DISCHARGE OF INDENTURE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4.1</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Satisfaction and Discharge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4.2</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Defeasance and Covenant Defeasance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31</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4.3</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Application of Trust Money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4.4</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Qualifying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5 REMEDIES</w:t>
            </w:r>
          </w:p>
        </w:tc>
        <w:tc>
          <w:tcPr>
            <w:tcW w:w="8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35</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Events of Default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35</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5.2</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Acceleration of Maturity; Rescission and Annulment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36</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5.3</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Collection of Indebtedness and Suits for Enforcement by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37</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5.4</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Trustee May File Proofs of Claim</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38</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5.5</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Trustee May Enforce Claims without Possession of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39</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5.6</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Application of Money Collected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39</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5.7</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Limitations on Suits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39</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5.8</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Unconditional Right of Holders to Receive Principal and Any Premium, Interest and Additional Amounts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40</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5.9</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Restoration of Rights and Remedies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40</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5.10</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Rights and Remedies Cumulative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40</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5.11</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Delay or Omission Not Waiver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5.12</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Control by Holders of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5.13</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Waiver of Past or Existing Defaults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41</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5.14</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Waiver of Stay or Extension Laws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5.15</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Undertaking for Costs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6 THE TRUSTEE</w:t>
            </w:r>
          </w:p>
        </w:tc>
        <w:tc>
          <w:tcPr>
            <w:tcW w:w="8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w:t>
            </w:r>
          </w:p>
        </w:tc>
      </w:tr>
      <w:tr>
        <w:trPr>
          <w:trHeight w:val="183"/>
        </w:trPr>
        <w:tc>
          <w:tcPr>
            <w:tcW w:w="202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6.1</w:t>
            </w:r>
          </w:p>
        </w:tc>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Certain Duties and Responsibilities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42</w:t>
            </w: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6.2</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Certain Rights of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43</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6.3</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Notice of Defaults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45</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6.4</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Not Responsible for Recitals or Issuance of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6.5</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May Hold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6.6</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Money Held in Trust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6.7</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Compensation and Reimbursement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46</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6.8</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Corporate Trustee Required; Eligibility; Conflicting Interests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47</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6.9</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Resignation and Removal; Appointment of Successor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48</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6.10</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Acceptance of Appointment by Successor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49</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6.11</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Merger, Conversion, Consolidation or Succession to Business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50</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6.12</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Appointment of Authenticating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51</w:t>
            </w:r>
          </w:p>
        </w:tc>
      </w:tr>
      <w:tr>
        <w:trPr>
          <w:trHeight w:val="183"/>
        </w:trPr>
        <w:tc>
          <w:tcPr>
            <w:tcW w:w="101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7 HOLDERS LISTS AND REPORTS BY TRUSTEE AND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7.1</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Company to Furnish Trustee Names and Addresses of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7.2</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Preservation of Information; Communications to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7.3</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Reports by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53</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7.4</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Reports by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54</w:t>
            </w:r>
          </w:p>
        </w:tc>
      </w:tr>
      <w:tr>
        <w:trPr>
          <w:trHeight w:val="183"/>
        </w:trPr>
        <w:tc>
          <w:tcPr>
            <w:tcW w:w="101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8 CONSOLIDATION, MERGER AND SALES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55</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8.1</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Company May Consolidate, etc., Only on Certain Terms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55</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8.2</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Successor Person Substituted for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55</w:t>
            </w:r>
          </w:p>
        </w:tc>
      </w:tr>
      <w:tr>
        <w:trPr>
          <w:trHeight w:val="183"/>
        </w:trPr>
        <w:tc>
          <w:tcPr>
            <w:tcW w:w="101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9 SUPPLEMENTAL INDENTURES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56</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9.1</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Supplemental Indentures without Consent of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56</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9.2</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Supplemental Indentures with Consent of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58</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9.3</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Execution of Supplemental Indentures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59</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9.4</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Revocation of Consents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59</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9.5</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Effect of Supplemental Indentures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59</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9.6</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Reference in Securities to Supplemental Indentures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9.7</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Conformity with Trust Indenture Act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w:t>
            </w:r>
          </w:p>
        </w:tc>
      </w:tr>
      <w:tr>
        <w:trPr>
          <w:trHeight w:val="183"/>
        </w:trPr>
        <w:tc>
          <w:tcPr>
            <w:tcW w:w="180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9.8</w:t>
            </w:r>
          </w:p>
        </w:tc>
        <w:tc>
          <w:tcPr>
            <w:tcW w:w="8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Notice of Supplemental Indenture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w:t>
            </w:r>
          </w:p>
        </w:tc>
      </w:tr>
    </w:tbl>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808" w:right="319" w:bottom="1440"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TABLE OF CONTENTS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(continued)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10 COVENANTS</w:t>
            </w:r>
          </w:p>
        </w:tc>
        <w:tc>
          <w:tcPr>
            <w:tcW w:w="80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10.1</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Payment of Principal, Any Premium, Interest and Additional Amounts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60</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10.2</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Maintenance of Office or Agency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61</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10.3</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Money for Securities Payments to Be Held in Trust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61</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10.4</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Additional Amounts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10.5</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Waiver of Certain Covenants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63</w:t>
            </w:r>
          </w:p>
        </w:tc>
      </w:tr>
      <w:tr>
        <w:trPr>
          <w:trHeight w:val="183"/>
        </w:trPr>
        <w:tc>
          <w:tcPr>
            <w:tcW w:w="101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11 REDEMPTION OF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64</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11.1</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Applicability of Article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64</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11.2</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Election to Redeem; Notice to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64</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11.3</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Selection by Trustee of Securities to Be Redeemed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64</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11.4</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Notice of Redemption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65</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11.5</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Deposit of Redemption Price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66</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11.6</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Securities Payable on Redemption Date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66</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11.7</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Securities Redeemed in Part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66</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11.8</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Repurchases on the Open Market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67</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12 SINKING FUNDS</w:t>
            </w:r>
          </w:p>
        </w:tc>
        <w:tc>
          <w:tcPr>
            <w:tcW w:w="80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67</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12.1</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Applicability of Article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67</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12.2</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Satisfaction of Sinking Fund Payments with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67</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12.3</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Redemption of Securities for Sinking Fund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68</w:t>
            </w:r>
          </w:p>
        </w:tc>
      </w:tr>
      <w:tr>
        <w:trPr>
          <w:trHeight w:val="183"/>
        </w:trPr>
        <w:tc>
          <w:tcPr>
            <w:tcW w:w="101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13 REPAYMENT AT THE OPTION OF 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68</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13.1</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Applicability of Article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68</w:t>
            </w:r>
          </w:p>
        </w:tc>
      </w:tr>
      <w:tr>
        <w:trPr>
          <w:trHeight w:val="183"/>
        </w:trPr>
        <w:tc>
          <w:tcPr>
            <w:tcW w:w="101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14 SECURITIES IN FOREIGN CURRENCIES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69</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14.1</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Applicability of Article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69</w:t>
            </w:r>
          </w:p>
        </w:tc>
      </w:tr>
      <w:tr>
        <w:trPr>
          <w:trHeight w:val="183"/>
        </w:trPr>
        <w:tc>
          <w:tcPr>
            <w:tcW w:w="101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ARTICLE 15 MEETINGS OF HOLDERS OF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69</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15.1</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Purposes for Which Meetings May Be Called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69</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15.2</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Call, Notice and Place of Meetings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69</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15.3</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Persons Entitled to Vote at Meetings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70</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15.4</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Quorum; Action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70</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15.5</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Determination of Voting Rights; Conduct and Adjournment of Meetings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71</w:t>
            </w:r>
          </w:p>
        </w:tc>
      </w:tr>
      <w:tr>
        <w:trPr>
          <w:trHeight w:val="183"/>
        </w:trPr>
        <w:tc>
          <w:tcPr>
            <w:tcW w:w="214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3"/>
        </w:trPr>
        <w:tc>
          <w:tcPr>
            <w:tcW w:w="21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5"/>
                <w:szCs w:val="15"/>
                <w:color w:val="auto"/>
              </w:rPr>
              <w:t>Section 15.6</w:t>
            </w:r>
          </w:p>
        </w:tc>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Counting Votes and Recording Action of Meetings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71</w:t>
            </w:r>
          </w:p>
        </w:tc>
      </w:tr>
    </w:tbl>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153275"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106" w:name="page107"/>
    <w:bookmarkEnd w:id="106"/>
    <w:p>
      <w:pPr>
        <w:ind w:left="540"/>
        <w:spacing w:after="0"/>
        <w:rPr>
          <w:sz w:val="20"/>
          <w:szCs w:val="20"/>
          <w:color w:val="auto"/>
        </w:rPr>
      </w:pPr>
      <w:r>
        <w:rPr>
          <w:rFonts w:ascii="Times New Roman" w:cs="Times New Roman" w:eastAsia="Times New Roman" w:hAnsi="Times New Roman"/>
          <w:sz w:val="15"/>
          <w:szCs w:val="15"/>
          <w:color w:val="auto"/>
        </w:rPr>
        <w:t>INDENTURE (the “</w:t>
      </w:r>
      <w:r>
        <w:rPr>
          <w:rFonts w:ascii="Times New Roman" w:cs="Times New Roman" w:eastAsia="Times New Roman" w:hAnsi="Times New Roman"/>
          <w:sz w:val="15"/>
          <w:szCs w:val="15"/>
          <w:u w:val="single" w:color="auto"/>
          <w:color w:val="auto"/>
        </w:rPr>
        <w:t>Indenture</w:t>
      </w:r>
      <w:r>
        <w:rPr>
          <w:rFonts w:ascii="Times New Roman" w:cs="Times New Roman" w:eastAsia="Times New Roman" w:hAnsi="Times New Roman"/>
          <w:sz w:val="15"/>
          <w:szCs w:val="15"/>
          <w:color w:val="auto"/>
        </w:rPr>
        <w:t>”), dated as of ____________________, between Serve Robotics Inc., a corporation existing under the laws of the State of Delaware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and ____________________, as trustee (the “</w:t>
      </w:r>
      <w:r>
        <w:rPr>
          <w:rFonts w:ascii="Times New Roman" w:cs="Times New Roman" w:eastAsia="Times New Roman" w:hAnsi="Times New Roman"/>
          <w:sz w:val="15"/>
          <w:szCs w:val="15"/>
          <w:u w:val="single" w:color="auto"/>
          <w:color w:val="auto"/>
        </w:rPr>
        <w:t>Trustee</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RECITALS</w:t>
      </w:r>
    </w:p>
    <w:p>
      <w:pPr>
        <w:spacing w:after="0" w:line="194" w:lineRule="exact"/>
        <w:rPr>
          <w:sz w:val="20"/>
          <w:szCs w:val="20"/>
          <w:color w:val="auto"/>
        </w:rPr>
      </w:pPr>
    </w:p>
    <w:p>
      <w:pPr>
        <w:ind w:right="80" w:firstLine="549"/>
        <w:spacing w:after="0" w:line="272" w:lineRule="auto"/>
        <w:rPr>
          <w:sz w:val="20"/>
          <w:szCs w:val="20"/>
          <w:color w:val="auto"/>
        </w:rPr>
      </w:pPr>
      <w:r>
        <w:rPr>
          <w:rFonts w:ascii="Times New Roman" w:cs="Times New Roman" w:eastAsia="Times New Roman" w:hAnsi="Times New Roman"/>
          <w:sz w:val="15"/>
          <w:szCs w:val="15"/>
          <w:color w:val="auto"/>
        </w:rPr>
        <w:t>The Company has duly authorized the execution and delivery of this Indenture to provide for the issuance from time to time of its debentures, notes or other evidences of indebtedness (hereinafter called the “</w:t>
      </w:r>
      <w:r>
        <w:rPr>
          <w:rFonts w:ascii="Times New Roman" w:cs="Times New Roman" w:eastAsia="Times New Roman" w:hAnsi="Times New Roman"/>
          <w:sz w:val="15"/>
          <w:szCs w:val="15"/>
          <w:u w:val="single" w:color="auto"/>
          <w:color w:val="auto"/>
        </w:rPr>
        <w:t>Securities</w:t>
      </w:r>
      <w:r>
        <w:rPr>
          <w:rFonts w:ascii="Times New Roman" w:cs="Times New Roman" w:eastAsia="Times New Roman" w:hAnsi="Times New Roman"/>
          <w:sz w:val="15"/>
          <w:szCs w:val="15"/>
          <w:color w:val="auto"/>
        </w:rPr>
        <w:t>”), unlimited as to principal amount, to bear such rates of interest, to mature at such time or times, to be issued in one or more series and to have such other provisions as shall be fixed as hereinafter provided.</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All things necessary to make this Indenture a valid and legally binding agreement of the Company, in accordance with its terms, have been done.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NOW, THEREFORE, THIS INDENTURE WITNESSETH:</w:t>
      </w:r>
    </w:p>
    <w:p>
      <w:pPr>
        <w:spacing w:after="0" w:line="194" w:lineRule="exact"/>
        <w:rPr>
          <w:sz w:val="20"/>
          <w:szCs w:val="20"/>
          <w:color w:val="auto"/>
        </w:rPr>
      </w:pPr>
    </w:p>
    <w:p>
      <w:pPr>
        <w:ind w:right="160" w:firstLine="549"/>
        <w:spacing w:after="0" w:line="290" w:lineRule="auto"/>
        <w:rPr>
          <w:sz w:val="20"/>
          <w:szCs w:val="20"/>
          <w:color w:val="auto"/>
        </w:rPr>
      </w:pPr>
      <w:r>
        <w:rPr>
          <w:rFonts w:ascii="Times New Roman" w:cs="Times New Roman" w:eastAsia="Times New Roman" w:hAnsi="Times New Roman"/>
          <w:sz w:val="15"/>
          <w:szCs w:val="15"/>
          <w:color w:val="auto"/>
        </w:rPr>
        <w:t>For and in consideration of the premises and the purchase of the Securities by the Holders (as herein defined) thereof, it is mutually covenanted and agreed, for the equal and proportionate benefit of all Holders of the Securities or of any series thereof as follows: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1</w:t>
      </w:r>
    </w:p>
    <w:p>
      <w:pPr>
        <w:spacing w:after="0" w:line="19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5"/>
          <w:szCs w:val="15"/>
          <w:b w:val="1"/>
          <w:bCs w:val="1"/>
          <w:color w:val="auto"/>
        </w:rPr>
        <w:t>DEFINITIONS AND OTHER PROVISIONS OF GENERAL APPLICATION</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u w:val="single" w:color="auto"/>
          <w:color w:val="auto"/>
        </w:rPr>
        <w:t>Definitions; Rules of Construction</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Except as otherwise expressly provided in or pursuant to this Indenture or unless the context otherwise requires, for all purposes of this Indenture:</w:t>
      </w:r>
    </w:p>
    <w:p>
      <w:pPr>
        <w:spacing w:after="0" w:line="194" w:lineRule="exact"/>
        <w:rPr>
          <w:sz w:val="20"/>
          <w:szCs w:val="20"/>
          <w:color w:val="auto"/>
        </w:rPr>
      </w:pPr>
    </w:p>
    <w:p>
      <w:pPr>
        <w:ind w:left="760" w:hanging="219"/>
        <w:spacing w:after="0"/>
        <w:tabs>
          <w:tab w:leader="none" w:pos="7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defined in this Article 1 have the meanings assigned to them in this Article 1, and include the plural as well as the singular;</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terms used herein that are defined in the Trust Indenture Act, either directly or by reference therein, have the meanings assigned to them therein;</w:t>
      </w:r>
    </w:p>
    <w:p>
      <w:pPr>
        <w:spacing w:after="0" w:line="193" w:lineRule="exact"/>
        <w:rPr>
          <w:rFonts w:ascii="Times New Roman" w:cs="Times New Roman" w:eastAsia="Times New Roman" w:hAnsi="Times New Roman"/>
          <w:sz w:val="15"/>
          <w:szCs w:val="15"/>
          <w:color w:val="auto"/>
        </w:rPr>
      </w:pPr>
    </w:p>
    <w:p>
      <w:pPr>
        <w:ind w:firstLine="541"/>
        <w:spacing w:after="0" w:line="272" w:lineRule="auto"/>
        <w:tabs>
          <w:tab w:leader="none" w:pos="766"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accounting terms not otherwise defined herein have the meanings assigned to them in accordance with generally accepted accounting principles and, except as otherwise herein expressly provided, the terms “generally accepted accounting principles” or “GAAP” with respect to any computation required or permitted hereunder shall mean such accounting principles as are generally accepted as of the date hereof;</w:t>
      </w:r>
    </w:p>
    <w:p>
      <w:pPr>
        <w:spacing w:after="0" w:line="146" w:lineRule="exact"/>
        <w:rPr>
          <w:rFonts w:ascii="Times New Roman" w:cs="Times New Roman" w:eastAsia="Times New Roman" w:hAnsi="Times New Roman"/>
          <w:sz w:val="15"/>
          <w:szCs w:val="15"/>
          <w:color w:val="auto"/>
        </w:rPr>
      </w:pPr>
    </w:p>
    <w:p>
      <w:pPr>
        <w:ind w:right="280" w:firstLine="541"/>
        <w:spacing w:after="0" w:line="290" w:lineRule="auto"/>
        <w:tabs>
          <w:tab w:leader="none" w:pos="766"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words “herein,” “hereof,” “hereto” and “hereunder” and other words of similar import refer to this Indenture as a whole and not to any particular Article, Section or other subdivision;</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 “or” is always used inclusively (for example, the phrase “A or B” means “A or B or both,” not “either A or B but not both”);</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07" w:name="page108"/>
    <w:bookmarkEnd w:id="107"/>
    <w:p>
      <w:pPr>
        <w:ind w:left="760" w:hanging="219"/>
        <w:spacing w:after="0"/>
        <w:tabs>
          <w:tab w:leader="none" w:pos="76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provisions apply to successive events and transactions;</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reference to gender includes the masculine, feminine and the neuter, as the case may be;</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to agreements and other instruments include subsequent amendments thereto and restatements thereof;</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“including” means “including without limitation”;</w:t>
      </w:r>
    </w:p>
    <w:p>
      <w:pPr>
        <w:spacing w:after="0" w:line="193" w:lineRule="exact"/>
        <w:rPr>
          <w:rFonts w:ascii="Times New Roman" w:cs="Times New Roman" w:eastAsia="Times New Roman" w:hAnsi="Times New Roman"/>
          <w:sz w:val="15"/>
          <w:szCs w:val="15"/>
          <w:color w:val="auto"/>
        </w:rPr>
      </w:pPr>
    </w:p>
    <w:p>
      <w:pPr>
        <w:ind w:left="840" w:hanging="299"/>
        <w:spacing w:after="0"/>
        <w:tabs>
          <w:tab w:leader="none" w:pos="8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exhibits are incorporated by reference herein and expressly made a part of this Indenture;</w:t>
      </w:r>
    </w:p>
    <w:p>
      <w:pPr>
        <w:spacing w:after="0" w:line="193" w:lineRule="exact"/>
        <w:rPr>
          <w:rFonts w:ascii="Times New Roman" w:cs="Times New Roman" w:eastAsia="Times New Roman" w:hAnsi="Times New Roman"/>
          <w:sz w:val="15"/>
          <w:szCs w:val="15"/>
          <w:color w:val="auto"/>
        </w:rPr>
      </w:pPr>
    </w:p>
    <w:p>
      <w:pPr>
        <w:ind w:left="820" w:hanging="279"/>
        <w:spacing w:after="0"/>
        <w:tabs>
          <w:tab w:leader="none" w:pos="82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references to articles, sections and exhibits (and subparts thereof) are to this Indenture; and</w:t>
      </w:r>
    </w:p>
    <w:p>
      <w:pPr>
        <w:spacing w:after="0" w:line="193" w:lineRule="exact"/>
        <w:rPr>
          <w:rFonts w:ascii="Times New Roman" w:cs="Times New Roman" w:eastAsia="Times New Roman" w:hAnsi="Times New Roman"/>
          <w:sz w:val="15"/>
          <w:szCs w:val="15"/>
          <w:color w:val="auto"/>
        </w:rPr>
      </w:pPr>
    </w:p>
    <w:p>
      <w:pPr>
        <w:ind w:right="220" w:firstLine="541"/>
        <w:spacing w:after="0" w:line="290" w:lineRule="auto"/>
        <w:tabs>
          <w:tab w:leader="none" w:pos="842"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or event shall be considered “permitted by” or made “in accordance with” or “in compliance with” this Indenture or any particular provision thereof if such transaction or event is not expressly prohibited by this Indenture or such provision, as the case may be.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Certain terms used principally in certain Articles hereof are defined in those Articles.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Act</w:t>
      </w:r>
      <w:r>
        <w:rPr>
          <w:rFonts w:ascii="Times New Roman" w:cs="Times New Roman" w:eastAsia="Times New Roman" w:hAnsi="Times New Roman"/>
          <w:sz w:val="15"/>
          <w:szCs w:val="15"/>
          <w:color w:val="auto"/>
        </w:rPr>
        <w:t>,” when used with respect to any Holders, has the meaning specified in Section 1.4.</w:t>
      </w:r>
    </w:p>
    <w:p>
      <w:pPr>
        <w:spacing w:after="0" w:line="194" w:lineRule="exact"/>
        <w:rPr>
          <w:sz w:val="20"/>
          <w:szCs w:val="20"/>
          <w:color w:val="auto"/>
        </w:rPr>
      </w:pPr>
    </w:p>
    <w:p>
      <w:pPr>
        <w:ind w:right="12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Additional Amounts</w:t>
      </w:r>
      <w:r>
        <w:rPr>
          <w:rFonts w:ascii="Times New Roman" w:cs="Times New Roman" w:eastAsia="Times New Roman" w:hAnsi="Times New Roman"/>
          <w:sz w:val="15"/>
          <w:szCs w:val="15"/>
          <w:color w:val="auto"/>
        </w:rPr>
        <w:t>” means any additional amounts which are required by this Indenture or by any Security, under circumstances specified herein or therein, to be paid by the Company in respect of certain taxes, assessments or other governmental charges imposed on Holders specified therein and which are owing to such Holders.</w:t>
      </w:r>
    </w:p>
    <w:p>
      <w:pPr>
        <w:spacing w:after="0" w:line="133"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Affiliate</w:t>
      </w:r>
      <w:r>
        <w:rPr>
          <w:rFonts w:ascii="Times New Roman" w:cs="Times New Roman" w:eastAsia="Times New Roman" w:hAnsi="Times New Roman"/>
          <w:sz w:val="15"/>
          <w:szCs w:val="15"/>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the meanings correlative to the foregoing.</w:t>
      </w:r>
    </w:p>
    <w:p>
      <w:pPr>
        <w:spacing w:after="0" w:line="146" w:lineRule="exact"/>
        <w:rPr>
          <w:sz w:val="20"/>
          <w:szCs w:val="20"/>
          <w:color w:val="auto"/>
        </w:rPr>
      </w:pPr>
    </w:p>
    <w:p>
      <w:pPr>
        <w:ind w:right="10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Applicable Procedures</w:t>
      </w:r>
      <w:r>
        <w:rPr>
          <w:rFonts w:ascii="Times New Roman" w:cs="Times New Roman" w:eastAsia="Times New Roman" w:hAnsi="Times New Roman"/>
          <w:sz w:val="15"/>
          <w:szCs w:val="15"/>
          <w:color w:val="auto"/>
        </w:rPr>
        <w:t>” means, with respect to any transfer or exchange of or for beneficial interests in any Global Security, the rules and procedures of the Depositary that apply to such transfer or exchange at the relevant time.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Authenticating Agent</w:t>
      </w:r>
      <w:r>
        <w:rPr>
          <w:rFonts w:ascii="Times New Roman" w:cs="Times New Roman" w:eastAsia="Times New Roman" w:hAnsi="Times New Roman"/>
          <w:sz w:val="15"/>
          <w:szCs w:val="15"/>
          <w:color w:val="auto"/>
        </w:rPr>
        <w:t>” means any Person authorized by the Trustee pursuant to Section 6.12 to act on behalf of the Trustee to authenticate Securities of one or more series.</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180"/>
          </w:cols>
          <w:pgMar w:left="320" w:top="789" w:right="399" w:bottom="1440" w:gutter="0" w:footer="0" w:header="0"/>
        </w:sectPr>
      </w:pPr>
    </w:p>
    <w:bookmarkStart w:id="108" w:name="page109"/>
    <w:bookmarkEnd w:id="108"/>
    <w:p>
      <w:pPr>
        <w:ind w:firstLine="549"/>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Authorized Newspaper</w:t>
      </w:r>
      <w:r>
        <w:rPr>
          <w:rFonts w:ascii="Times New Roman" w:cs="Times New Roman" w:eastAsia="Times New Roman" w:hAnsi="Times New Roman"/>
          <w:sz w:val="15"/>
          <w:szCs w:val="15"/>
          <w:color w:val="auto"/>
        </w:rPr>
        <w:t>” means a newspaper, in an official language of the place of publication or in the English language, customarily published on each day that is a Business Day in the place of publication, whether or not published on days that are Legal Holidays in the place of publication,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day that is a Business Day in the place of publication. If it shall be impractical in the opinion of the Trustee to make any publication of any notice required hereby in an Authorized Newspaper, any publication or other notice in lieu thereof which is made or given with the approval of the Trustee shall constitute a sufficient publication of such notice.</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Board of Directors</w:t>
      </w:r>
      <w:r>
        <w:rPr>
          <w:rFonts w:ascii="Times New Roman" w:cs="Times New Roman" w:eastAsia="Times New Roman" w:hAnsi="Times New Roman"/>
          <w:sz w:val="15"/>
          <w:szCs w:val="15"/>
          <w:color w:val="auto"/>
        </w:rPr>
        <w:t>” means:</w:t>
      </w:r>
    </w:p>
    <w:p>
      <w:pPr>
        <w:spacing w:after="0" w:line="194" w:lineRule="exact"/>
        <w:rPr>
          <w:sz w:val="20"/>
          <w:szCs w:val="20"/>
          <w:color w:val="auto"/>
        </w:rPr>
      </w:pPr>
    </w:p>
    <w:p>
      <w:pPr>
        <w:ind w:right="100" w:firstLine="541"/>
        <w:spacing w:after="0" w:line="290" w:lineRule="auto"/>
        <w:tabs>
          <w:tab w:leader="none" w:pos="766"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Company, the board of directors of the Company or any committee of the board of directors of the Company duly authorized to act generally or in any particular respect for the Company under this Indenture;</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other corporation, the board of directors of the corporation or any authorized committee thereof;</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 limited liability company, the managing member or managing members of such limited liability company or any authorized committee thereof;</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 partnership, the board of directors of the general partner of the partnership or any authorized committee thereof; and</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other Person, the board or committee of such Person serving a similar function.</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Board Resolution</w:t>
      </w:r>
      <w:r>
        <w:rPr>
          <w:rFonts w:ascii="Times New Roman" w:cs="Times New Roman" w:eastAsia="Times New Roman" w:hAnsi="Times New Roman"/>
          <w:sz w:val="15"/>
          <w:szCs w:val="15"/>
          <w:color w:val="auto"/>
        </w:rPr>
        <w:t>” means a copy of one or more resolutions (which may be standing resolutions), certified by the Secretary or an Assistant Secretary of the Company to have been duly adopted by the Board of Directors of the Company and to be in full force and effect on the date of such certification, and delivered to the Trustee.</w:t>
      </w:r>
    </w:p>
    <w:p>
      <w:pPr>
        <w:spacing w:after="0" w:line="133" w:lineRule="exact"/>
        <w:rPr>
          <w:sz w:val="20"/>
          <w:szCs w:val="20"/>
          <w:color w:val="auto"/>
        </w:rPr>
      </w:pPr>
    </w:p>
    <w:p>
      <w:pPr>
        <w:ind w:right="46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Day</w:t>
      </w:r>
      <w:r>
        <w:rPr>
          <w:rFonts w:ascii="Times New Roman" w:cs="Times New Roman" w:eastAsia="Times New Roman" w:hAnsi="Times New Roman"/>
          <w:sz w:val="15"/>
          <w:szCs w:val="15"/>
          <w:color w:val="auto"/>
        </w:rPr>
        <w:t>” means, unless otherwise specified with respect to any Securities pursuant to Section 3.1, each day that is not a Saturday, Sunday or other day on which banking institutions in New York, New York or another Place of Payment are authorized or required by law, regulation or executive order to close.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Capital Stock</w:t>
      </w:r>
      <w:r>
        <w:rPr>
          <w:rFonts w:ascii="Times New Roman" w:cs="Times New Roman" w:eastAsia="Times New Roman" w:hAnsi="Times New Roman"/>
          <w:sz w:val="15"/>
          <w:szCs w:val="15"/>
          <w:color w:val="auto"/>
        </w:rPr>
        <w:t>” means: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(1) in the case of a corporation, corporate stock;</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109" w:name="page110"/>
    <w:bookmarkEnd w:id="109"/>
    <w:p>
      <w:pPr>
        <w:ind w:left="760" w:hanging="219"/>
        <w:spacing w:after="0"/>
        <w:tabs>
          <w:tab w:leader="none" w:pos="76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association or business entity, any and all shares, interests, participations, rights or other equivalents (however designated) of corporate stock;</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partnership or limited liability company, partnership or membership interests (whether general or limited); and</w:t>
      </w:r>
    </w:p>
    <w:p>
      <w:pPr>
        <w:spacing w:after="0" w:line="193" w:lineRule="exact"/>
        <w:rPr>
          <w:rFonts w:ascii="Times New Roman" w:cs="Times New Roman" w:eastAsia="Times New Roman" w:hAnsi="Times New Roman"/>
          <w:sz w:val="15"/>
          <w:szCs w:val="15"/>
          <w:color w:val="auto"/>
        </w:rPr>
      </w:pPr>
    </w:p>
    <w:p>
      <w:pPr>
        <w:ind w:left="540" w:right="680" w:firstLine="1"/>
        <w:spacing w:after="0" w:line="509" w:lineRule="auto"/>
        <w:tabs>
          <w:tab w:leader="none" w:pos="756"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interest or participation that confers on a Person the right to receive a share of the profits and losses of, or distributions of assets of, the issuing Person. “</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means the Securities and Exchange Commission, as from time to time constituted, created under the Exchange Act or any successor agency.</w:t>
      </w:r>
    </w:p>
    <w:p>
      <w:pPr>
        <w:spacing w:after="0" w:line="1"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includes any Capital Stock of any class of the Company which has no preference in respect of dividends or of amounts payable in the event of any voluntary or involuntary liquidation, dissolution or winding up of the Company.</w:t>
      </w:r>
    </w:p>
    <w:p>
      <w:pPr>
        <w:spacing w:after="0" w:line="133" w:lineRule="exact"/>
        <w:rPr>
          <w:sz w:val="20"/>
          <w:szCs w:val="20"/>
          <w:color w:val="auto"/>
        </w:rPr>
      </w:pPr>
    </w:p>
    <w:p>
      <w:pPr>
        <w:ind w:right="30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133" w:lineRule="exact"/>
        <w:rPr>
          <w:sz w:val="20"/>
          <w:szCs w:val="20"/>
          <w:color w:val="auto"/>
        </w:rPr>
      </w:pPr>
    </w:p>
    <w:p>
      <w:pPr>
        <w:jc w:val="both"/>
        <w:ind w:right="280"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Company Request</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u w:val="single" w:color="auto"/>
          <w:color w:val="auto"/>
        </w:rPr>
        <w:t>Company Order</w:t>
      </w:r>
      <w:r>
        <w:rPr>
          <w:rFonts w:ascii="Times New Roman" w:cs="Times New Roman" w:eastAsia="Times New Roman" w:hAnsi="Times New Roman"/>
          <w:sz w:val="15"/>
          <w:szCs w:val="15"/>
          <w:color w:val="auto"/>
        </w:rPr>
        <w:t>” mean, respectively, a written request or order, as the case may be, signed in the name of the Company by the Chairman of the Board of Directors of the Company, a Vice Chairman, the President, a Vice President, the Treasurer, the Assistant Treasurer, the Secretary or the Assistant Secretary or other person authorized by resolution of the Board of Directors of the Company, and delivered to the Trustee.</w:t>
      </w:r>
    </w:p>
    <w:p>
      <w:pPr>
        <w:spacing w:after="0" w:line="146" w:lineRule="exact"/>
        <w:rPr>
          <w:sz w:val="20"/>
          <w:szCs w:val="20"/>
          <w:color w:val="auto"/>
        </w:rPr>
      </w:pPr>
    </w:p>
    <w:p>
      <w:pPr>
        <w:ind w:right="30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Corporate Trust Office</w:t>
      </w:r>
      <w:r>
        <w:rPr>
          <w:rFonts w:ascii="Times New Roman" w:cs="Times New Roman" w:eastAsia="Times New Roman" w:hAnsi="Times New Roman"/>
          <w:sz w:val="15"/>
          <w:szCs w:val="15"/>
          <w:color w:val="auto"/>
        </w:rPr>
        <w:t>” means the designated office of the Trustee at which the corporate trust business of the Trustee shall at any particular time be administered, which office at the date of original execution of this Indenture is located at ____________________.</w:t>
      </w:r>
    </w:p>
    <w:p>
      <w:pPr>
        <w:spacing w:after="0" w:line="133" w:lineRule="exact"/>
        <w:rPr>
          <w:sz w:val="20"/>
          <w:szCs w:val="20"/>
          <w:color w:val="auto"/>
        </w:rPr>
      </w:pPr>
    </w:p>
    <w:p>
      <w:pPr>
        <w:ind w:right="4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Corporation</w:t>
      </w:r>
      <w:r>
        <w:rPr>
          <w:rFonts w:ascii="Times New Roman" w:cs="Times New Roman" w:eastAsia="Times New Roman" w:hAnsi="Times New Roman"/>
          <w:sz w:val="15"/>
          <w:szCs w:val="15"/>
          <w:color w:val="auto"/>
        </w:rPr>
        <w:t>” includes corporations and limited liability companies and, except for purposes of Article 8, associations, companies (other than limited liability companies) and business trusts.</w:t>
      </w:r>
    </w:p>
    <w:p>
      <w:pPr>
        <w:spacing w:after="0" w:line="133" w:lineRule="exact"/>
        <w:rPr>
          <w:sz w:val="20"/>
          <w:szCs w:val="20"/>
          <w:color w:val="auto"/>
        </w:rPr>
      </w:pPr>
    </w:p>
    <w:p>
      <w:pPr>
        <w:ind w:right="120"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Currency</w:t>
      </w:r>
      <w:r>
        <w:rPr>
          <w:rFonts w:ascii="Times New Roman" w:cs="Times New Roman" w:eastAsia="Times New Roman" w:hAnsi="Times New Roman"/>
          <w:sz w:val="15"/>
          <w:szCs w:val="15"/>
          <w:color w:val="auto"/>
        </w:rPr>
        <w:t>” means, with respect to any payment, deposit or other transfer in respect of the principal of or any premium or interest on or any Additional Amounts with respect to any Security, Dollars or Foreign Currency, as the case may be, in which such payment, deposit or other transfer is required to be made by or pursuant to the terms hereof or such Security and, with respect to any other payment, deposit or transfer pursuant to or contemplated by the terms hereof or such Security, means Dollars.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CUSIP number</w:t>
      </w:r>
      <w:r>
        <w:rPr>
          <w:rFonts w:ascii="Times New Roman" w:cs="Times New Roman" w:eastAsia="Times New Roman" w:hAnsi="Times New Roman"/>
          <w:sz w:val="15"/>
          <w:szCs w:val="15"/>
          <w:color w:val="auto"/>
        </w:rPr>
        <w:t>” means the alphanumeric designation assigned to a Security by Standard &amp; Poor’s Corporation, CUSIP Service Bureau.</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Defaulted Interest</w:t>
      </w:r>
      <w:r>
        <w:rPr>
          <w:rFonts w:ascii="Times New Roman" w:cs="Times New Roman" w:eastAsia="Times New Roman" w:hAnsi="Times New Roman"/>
          <w:sz w:val="15"/>
          <w:szCs w:val="15"/>
          <w:color w:val="auto"/>
        </w:rPr>
        <w:t>” has the meaning specified in Section 3.7.</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Definitive Security</w:t>
      </w:r>
      <w:r>
        <w:rPr>
          <w:rFonts w:ascii="Times New Roman" w:cs="Times New Roman" w:eastAsia="Times New Roman" w:hAnsi="Times New Roman"/>
          <w:sz w:val="15"/>
          <w:szCs w:val="15"/>
          <w:color w:val="auto"/>
        </w:rPr>
        <w:t>” means a certificated Security registered in the name of the Holder thereof (other than a Depositary or its nominee) issued under this Indenture pursuant to Section 3.1 and Section 3.5.</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Dollars</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means a dollar or other equivalent unit of legal tender for payment of public or private debts in the United States of America.</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Event of Default</w:t>
      </w:r>
      <w:r>
        <w:rPr>
          <w:rFonts w:ascii="Times New Roman" w:cs="Times New Roman" w:eastAsia="Times New Roman" w:hAnsi="Times New Roman"/>
          <w:sz w:val="15"/>
          <w:szCs w:val="15"/>
          <w:color w:val="auto"/>
        </w:rPr>
        <w:t>” has the meaning specified in Section 5.1.</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means the Securities Exchange Act of 1934, as amended, or any successor thereto, in each case as amended from time to time.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10" w:name="page111"/>
    <w:bookmarkEnd w:id="110"/>
    <w:p>
      <w:pPr>
        <w:ind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Foreign Currency</w:t>
      </w:r>
      <w:r>
        <w:rPr>
          <w:rFonts w:ascii="Times New Roman" w:cs="Times New Roman" w:eastAsia="Times New Roman" w:hAnsi="Times New Roman"/>
          <w:sz w:val="15"/>
          <w:szCs w:val="15"/>
          <w:color w:val="auto"/>
        </w:rPr>
        <w:t>” means any currency, currency unit or composite currency, including, without limitation, the euro, issued by the government of one or more countries other than the United States of America or by any recognized confederation or association of such governments.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GAAP</w:t>
      </w:r>
      <w:r>
        <w:rPr>
          <w:rFonts w:ascii="Times New Roman" w:cs="Times New Roman" w:eastAsia="Times New Roman" w:hAnsi="Times New Roman"/>
          <w:sz w:val="15"/>
          <w:szCs w:val="15"/>
          <w:color w:val="auto"/>
        </w:rPr>
        <w:t>” means generally accepted accounting principles in the United States, which are in effect from time to time.</w:t>
      </w:r>
    </w:p>
    <w:p>
      <w:pPr>
        <w:spacing w:after="0" w:line="194" w:lineRule="exact"/>
        <w:rPr>
          <w:sz w:val="20"/>
          <w:szCs w:val="20"/>
          <w:color w:val="auto"/>
        </w:rPr>
      </w:pPr>
    </w:p>
    <w:p>
      <w:pPr>
        <w:ind w:right="24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Global Security</w:t>
      </w:r>
      <w:r>
        <w:rPr>
          <w:rFonts w:ascii="Times New Roman" w:cs="Times New Roman" w:eastAsia="Times New Roman" w:hAnsi="Times New Roman"/>
          <w:sz w:val="15"/>
          <w:szCs w:val="15"/>
          <w:color w:val="auto"/>
        </w:rPr>
        <w:t>” means a Security issued under this Indenture in global form pursuant to Section 3.1, bearing the legend set forth in Section 2.3 and deposited with, or on behalf of, and registered in the name of, the Depositary or its nominee.</w:t>
      </w:r>
    </w:p>
    <w:p>
      <w:pPr>
        <w:spacing w:after="0" w:line="133" w:lineRule="exact"/>
        <w:rPr>
          <w:sz w:val="20"/>
          <w:szCs w:val="20"/>
          <w:color w:val="auto"/>
        </w:rPr>
      </w:pPr>
    </w:p>
    <w:p>
      <w:pPr>
        <w:ind w:right="60" w:firstLine="549"/>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Government Obligations</w:t>
      </w:r>
      <w:r>
        <w:rPr>
          <w:rFonts w:ascii="Times New Roman" w:cs="Times New Roman" w:eastAsia="Times New Roman" w:hAnsi="Times New Roman"/>
          <w:sz w:val="15"/>
          <w:szCs w:val="15"/>
          <w:color w:val="auto"/>
        </w:rPr>
        <w:t>” means securities which are (i) direct obligations of the United States of America or the other government or governments in the confederation which issued the Foreign Currency in which the principal of or any premium or interest on any Security or any Additional Amounts in respect thereof shall be payable, in each case where the payment or payments thereunder are supported by the full faith and credit of the United States or such government or governments or (ii) obligations of a Person controlled or supervised by and acting as an agency or instrumentality of the United States of America or such other government or governments, in each case where the timely payment or payments thereunder are unconditionally guaranteed as a full faith and credit obligation by the United States of America or such other government or governments, and which, in the case of (i) or (ii), are not callable or redeemable at the option of the issuer or issuers thereof, and shall also include a Depositary receipt issued by a bank or trust company as custodian with respect to any such Government Obligation or a specific payment of interest on or principal of or other amount with respect to any such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Government Obligation or the specific payment of interest on or principal of or other amount with respect to the Government Obligation evidenced by such Depositary receipt.</w:t>
      </w:r>
    </w:p>
    <w:p>
      <w:pPr>
        <w:spacing w:after="0" w:line="16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Holder</w:t>
      </w:r>
      <w:r>
        <w:rPr>
          <w:rFonts w:ascii="Times New Roman" w:cs="Times New Roman" w:eastAsia="Times New Roman" w:hAnsi="Times New Roman"/>
          <w:sz w:val="15"/>
          <w:szCs w:val="15"/>
          <w:color w:val="auto"/>
        </w:rPr>
        <w:t>” means, in the case of any Registered Security, the Person in whose name such Security is registered in the Security Register.</w:t>
      </w:r>
    </w:p>
    <w:p>
      <w:pPr>
        <w:spacing w:after="0" w:line="194" w:lineRule="exact"/>
        <w:rPr>
          <w:sz w:val="20"/>
          <w:szCs w:val="20"/>
          <w:color w:val="auto"/>
        </w:rPr>
      </w:pPr>
    </w:p>
    <w:p>
      <w:pPr>
        <w:ind w:right="40" w:firstLine="549"/>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Indenture</w:t>
      </w:r>
      <w:r>
        <w:rPr>
          <w:rFonts w:ascii="Times New Roman" w:cs="Times New Roman" w:eastAsia="Times New Roman" w:hAnsi="Times New Roman"/>
          <w:sz w:val="15"/>
          <w:szCs w:val="15"/>
          <w:color w:val="auto"/>
        </w:rPr>
        <w:t>” means this instrument as it may from time to time be supplemented or amended by one or more indentures supplemental hereto entered into pursuant to the applicable provisions hereof and, with respect to any Security of any series, by the terms and provisions of such Security established pursuant to Section 3.1 (as such terms and provisions may be amended pursuant to the applicable provisions hereof); provided, however,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those particular series of Securities for which such Person is Trustee established pursuant to Section 3.1, exclusive, however, of any provisions or terms which relate solely to other series of Securities for which such Person is not Trustee, regardless of when such terms or provisions were adopted.</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11" w:name="page112"/>
    <w:bookmarkEnd w:id="111"/>
    <w:p>
      <w:pPr>
        <w:jc w:val="both"/>
        <w:ind w:firstLine="549"/>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Independent Registered Public Accounting Firm</w:t>
      </w:r>
      <w:r>
        <w:rPr>
          <w:rFonts w:ascii="Times New Roman" w:cs="Times New Roman" w:eastAsia="Times New Roman" w:hAnsi="Times New Roman"/>
          <w:sz w:val="15"/>
          <w:szCs w:val="15"/>
          <w:color w:val="auto"/>
        </w:rPr>
        <w:t>” means a firm of accountants that, with respect to the Company and any other obligor under the Securities, is an independent registered public accounting firm within the meaning of the Securities Act of 1933, as amended, and the rules and regulations promulgated by the Commission thereunder, who may be the independent registered public accounting firm regularly retained by the Company or who may be another independent registered public accounting firm. Such firm shall be entitled to rely upon any Opinion of Counsel as to the interpretation of any legal matters relating to this Indenture or certificates required to be provided hereunder.</w:t>
      </w:r>
    </w:p>
    <w:p>
      <w:pPr>
        <w:spacing w:after="0" w:line="151" w:lineRule="exact"/>
        <w:rPr>
          <w:sz w:val="20"/>
          <w:szCs w:val="20"/>
          <w:color w:val="auto"/>
        </w:rPr>
      </w:pPr>
    </w:p>
    <w:p>
      <w:pPr>
        <w:ind w:right="40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Indexed Security</w:t>
      </w:r>
      <w:r>
        <w:rPr>
          <w:rFonts w:ascii="Times New Roman" w:cs="Times New Roman" w:eastAsia="Times New Roman" w:hAnsi="Times New Roman"/>
          <w:sz w:val="15"/>
          <w:szCs w:val="15"/>
          <w:color w:val="auto"/>
        </w:rPr>
        <w:t>” means a Security the terms of which provide that the principal amount thereof payable at Stated Maturity may be more or less than the principal face amount thereof at original issuance.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Indirect Participant</w:t>
      </w:r>
      <w:r>
        <w:rPr>
          <w:rFonts w:ascii="Times New Roman" w:cs="Times New Roman" w:eastAsia="Times New Roman" w:hAnsi="Times New Roman"/>
          <w:sz w:val="15"/>
          <w:szCs w:val="15"/>
          <w:color w:val="auto"/>
        </w:rPr>
        <w:t>” means an entity that, with respect to any Depositary, clears through or maintains a direct or indirect, custodial relationship with a Participant.</w:t>
      </w:r>
    </w:p>
    <w:p>
      <w:pPr>
        <w:spacing w:after="0" w:line="194" w:lineRule="exact"/>
        <w:rPr>
          <w:sz w:val="20"/>
          <w:szCs w:val="20"/>
          <w:color w:val="auto"/>
        </w:rPr>
      </w:pPr>
    </w:p>
    <w:p>
      <w:pPr>
        <w:ind w:right="240"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interest</w:t>
      </w:r>
      <w:r>
        <w:rPr>
          <w:rFonts w:ascii="Times New Roman" w:cs="Times New Roman" w:eastAsia="Times New Roman" w:hAnsi="Times New Roman"/>
          <w:sz w:val="15"/>
          <w:szCs w:val="15"/>
          <w:color w:val="auto"/>
        </w:rPr>
        <w:t>” means any interest specified in any Security as being payable with respect to that Security, and, with respect to any Original Issue Discount Security which by its terms bears interest only after Maturity, means interest payable after Maturity and, when used with respect to a Security which provides for the payment of Additional Amounts pursuant to Section 10.4, includes such Additional Amounts.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Interest Payment Date</w:t>
      </w:r>
      <w:r>
        <w:rPr>
          <w:rFonts w:ascii="Times New Roman" w:cs="Times New Roman" w:eastAsia="Times New Roman" w:hAnsi="Times New Roman"/>
          <w:sz w:val="15"/>
          <w:szCs w:val="15"/>
          <w:color w:val="auto"/>
        </w:rPr>
        <w:t>” means, with respect to any Security, the Stated Maturity of an installment of interest on such Security.</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Judgment Currency</w:t>
      </w:r>
      <w:r>
        <w:rPr>
          <w:rFonts w:ascii="Times New Roman" w:cs="Times New Roman" w:eastAsia="Times New Roman" w:hAnsi="Times New Roman"/>
          <w:sz w:val="15"/>
          <w:szCs w:val="15"/>
          <w:color w:val="auto"/>
        </w:rPr>
        <w:t>” has the meaning specified in Section 1.16.</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Legal Holiday</w:t>
      </w:r>
      <w:r>
        <w:rPr>
          <w:rFonts w:ascii="Times New Roman" w:cs="Times New Roman" w:eastAsia="Times New Roman" w:hAnsi="Times New Roman"/>
          <w:sz w:val="15"/>
          <w:szCs w:val="15"/>
          <w:color w:val="auto"/>
        </w:rPr>
        <w:t>” has the meaning specified in Section 1.14.</w:t>
      </w:r>
    </w:p>
    <w:p>
      <w:pPr>
        <w:spacing w:after="0" w:line="194" w:lineRule="exact"/>
        <w:rPr>
          <w:sz w:val="20"/>
          <w:szCs w:val="20"/>
          <w:color w:val="auto"/>
        </w:rPr>
      </w:pPr>
    </w:p>
    <w:p>
      <w:pPr>
        <w:ind w:right="220"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Maturity</w:t>
      </w:r>
      <w:r>
        <w:rPr>
          <w:rFonts w:ascii="Times New Roman" w:cs="Times New Roman" w:eastAsia="Times New Roman" w:hAnsi="Times New Roman"/>
          <w:sz w:val="15"/>
          <w:szCs w:val="15"/>
          <w:color w:val="auto"/>
        </w:rPr>
        <w:t>” means, with respect to any Security, the date on which the principal of such Security or an installment of principal becomes due and payable as provided in or pursuant to this Indenture, whether at the Stated Maturity or by declaration of acceleration, notice of redemption or repurchase, notice of option to elect repayment or otherwise, and includes the Redemption Date.</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New York Banking Day</w:t>
      </w:r>
      <w:r>
        <w:rPr>
          <w:rFonts w:ascii="Times New Roman" w:cs="Times New Roman" w:eastAsia="Times New Roman" w:hAnsi="Times New Roman"/>
          <w:sz w:val="15"/>
          <w:szCs w:val="15"/>
          <w:color w:val="auto"/>
        </w:rPr>
        <w:t>” has the meaning specified in Section 1.16.</w:t>
      </w:r>
    </w:p>
    <w:p>
      <w:pPr>
        <w:spacing w:after="0" w:line="194" w:lineRule="exact"/>
        <w:rPr>
          <w:sz w:val="20"/>
          <w:szCs w:val="20"/>
          <w:color w:val="auto"/>
        </w:rPr>
      </w:pPr>
    </w:p>
    <w:p>
      <w:pPr>
        <w:jc w:val="both"/>
        <w:ind w:right="100"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Office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Agency</w:t>
      </w:r>
      <w:r>
        <w:rPr>
          <w:rFonts w:ascii="Times New Roman" w:cs="Times New Roman" w:eastAsia="Times New Roman" w:hAnsi="Times New Roman"/>
          <w:sz w:val="15"/>
          <w:szCs w:val="15"/>
          <w:color w:val="auto"/>
        </w:rPr>
        <w:t>” means, with respect to any Securities, an office or agency of the Company maintained or designated as a Place of Payment for such Securities pursuant to Section 10.2 or any other office or agency of the Company maintained or designated for such Securities pursuant to Section 10.2 or, to the extent designated or required by Section 10.2 in lieu of such office or agency, the Corporate Trust Office of the Trustee.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12" w:name="page113"/>
    <w:bookmarkEnd w:id="112"/>
    <w:p>
      <w:pPr>
        <w:jc w:val="both"/>
        <w:ind w:right="20"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Officer</w:t>
      </w:r>
      <w:r>
        <w:rPr>
          <w:rFonts w:ascii="Times New Roman" w:cs="Times New Roman" w:eastAsia="Times New Roman" w:hAnsi="Times New Roman"/>
          <w:sz w:val="15"/>
          <w:szCs w:val="15"/>
          <w:color w:val="auto"/>
        </w:rPr>
        <w:t>” means, with respect to any Person, the Chairman of the Board of Directors, a Vice Chairman, the Chief Executive Officer, the President, any Vice President (without regard to qualifiers such as “Executive” or “Senior”), the Chief Operating Officer, the Chief Financial Officer, the Treasurer, an Assistant Treasurer, the Controller, the Secretary or an Assistant Secretary of such Person, or other Person authorized by resolution of the Board of Directors of such Person.</w:t>
      </w:r>
    </w:p>
    <w:p>
      <w:pPr>
        <w:spacing w:after="0" w:line="146"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Officer’s Certificate</w:t>
      </w:r>
      <w:r>
        <w:rPr>
          <w:rFonts w:ascii="Times New Roman" w:cs="Times New Roman" w:eastAsia="Times New Roman" w:hAnsi="Times New Roman"/>
          <w:sz w:val="15"/>
          <w:szCs w:val="15"/>
          <w:color w:val="auto"/>
        </w:rPr>
        <w:t>” means a certificate signed by an Officer, that, if applicable, complies with the requirements of Section 314(e) of the Trust Indenture Act and is delivered to the Trustee.</w:t>
      </w:r>
    </w:p>
    <w:p>
      <w:pPr>
        <w:spacing w:after="0" w:line="133" w:lineRule="exact"/>
        <w:rPr>
          <w:sz w:val="20"/>
          <w:szCs w:val="20"/>
          <w:color w:val="auto"/>
        </w:rPr>
      </w:pPr>
    </w:p>
    <w:p>
      <w:pPr>
        <w:ind w:right="34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Opinion of Counsel</w:t>
      </w:r>
      <w:r>
        <w:rPr>
          <w:rFonts w:ascii="Times New Roman" w:cs="Times New Roman" w:eastAsia="Times New Roman" w:hAnsi="Times New Roman"/>
          <w:sz w:val="15"/>
          <w:szCs w:val="15"/>
          <w:color w:val="auto"/>
        </w:rPr>
        <w:t>” means a written opinion of counsel, who may be an employee of or counsel for the Company or other counsel that, if applicable, complies with the requirements of Section 314(e) of the Trust Indenture Act.</w:t>
      </w:r>
    </w:p>
    <w:p>
      <w:pPr>
        <w:spacing w:after="0" w:line="133" w:lineRule="exact"/>
        <w:rPr>
          <w:sz w:val="20"/>
          <w:szCs w:val="20"/>
          <w:color w:val="auto"/>
        </w:rPr>
      </w:pPr>
    </w:p>
    <w:p>
      <w:pPr>
        <w:ind w:right="56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Original Issue Discount Security</w:t>
      </w:r>
      <w:r>
        <w:rPr>
          <w:rFonts w:ascii="Times New Roman" w:cs="Times New Roman" w:eastAsia="Times New Roman" w:hAnsi="Times New Roman"/>
          <w:sz w:val="15"/>
          <w:szCs w:val="15"/>
          <w:color w:val="auto"/>
        </w:rPr>
        <w:t>” means a Security issued pursuant to this Indenture that provides, at any time prior to the final Stated Maturity of such Security, for declaration of an amount less than the principal amount thereof to be due and payable upon acceleration pursuant to Section 5.2.</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Outstanding</w:t>
      </w:r>
      <w:r>
        <w:rPr>
          <w:rFonts w:ascii="Times New Roman" w:cs="Times New Roman" w:eastAsia="Times New Roman" w:hAnsi="Times New Roman"/>
          <w:sz w:val="15"/>
          <w:szCs w:val="15"/>
          <w:color w:val="auto"/>
        </w:rPr>
        <w:t>” means, when used with respect to any Securities, as of the date of determination, all such Securities theretofore authenticated and delivered under this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Indenture, except:</w:t>
      </w:r>
    </w:p>
    <w:p>
      <w:pPr>
        <w:spacing w:after="0" w:line="179" w:lineRule="exact"/>
        <w:rPr>
          <w:sz w:val="20"/>
          <w:szCs w:val="20"/>
          <w:color w:val="auto"/>
        </w:rPr>
      </w:pPr>
    </w:p>
    <w:p>
      <w:pPr>
        <w:ind w:left="760" w:hanging="219"/>
        <w:spacing w:after="0"/>
        <w:tabs>
          <w:tab w:leader="none" w:pos="76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such Security theretofore cancelled by the Trustee or delivered to the Trustee for cancellation including Securities tendered and exchanged for other securities of the</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w:t>
      </w:r>
    </w:p>
    <w:p>
      <w:pPr>
        <w:spacing w:after="0" w:line="179" w:lineRule="exact"/>
        <w:rPr>
          <w:rFonts w:ascii="Times New Roman" w:cs="Times New Roman" w:eastAsia="Times New Roman" w:hAnsi="Times New Roman"/>
          <w:sz w:val="15"/>
          <w:szCs w:val="15"/>
          <w:color w:val="auto"/>
        </w:rPr>
      </w:pPr>
    </w:p>
    <w:p>
      <w:pPr>
        <w:ind w:right="260" w:firstLine="541"/>
        <w:spacing w:after="0" w:line="266" w:lineRule="auto"/>
        <w:tabs>
          <w:tab w:leader="none" w:pos="766"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such Security of any series for which payment at the Maturity thereof money in the necessary amount has been theretofore deposited pursuant hereto (other than pursuant to Section 4.2) with the Trustee or any Paying Agent (other than the Company) in trust or set aside and segregated in trust by the Company (if the Company shall act as its own Paying Agent) for the Holders of such series of Securities, provided that, if such Securities are to be redeemed, notice of such redemption has been duly given pursuant to this Indenture or provision therefor satisfactory to the Trustee has been made;</w:t>
      </w:r>
    </w:p>
    <w:p>
      <w:pPr>
        <w:spacing w:after="0" w:line="151" w:lineRule="exact"/>
        <w:rPr>
          <w:rFonts w:ascii="Times New Roman" w:cs="Times New Roman" w:eastAsia="Times New Roman" w:hAnsi="Times New Roman"/>
          <w:sz w:val="15"/>
          <w:szCs w:val="15"/>
          <w:color w:val="auto"/>
        </w:rPr>
      </w:pPr>
    </w:p>
    <w:p>
      <w:pPr>
        <w:ind w:right="420" w:firstLine="541"/>
        <w:spacing w:after="0" w:line="290" w:lineRule="auto"/>
        <w:tabs>
          <w:tab w:leader="none" w:pos="766"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such Security of any series with respect to which the Company has effected defeasance or covenant defeasance pursuant to the terms hereof, except to the extent provided in Section 4.2;</w:t>
      </w:r>
    </w:p>
    <w:p>
      <w:pPr>
        <w:spacing w:after="0" w:line="132" w:lineRule="exact"/>
        <w:rPr>
          <w:rFonts w:ascii="Times New Roman" w:cs="Times New Roman" w:eastAsia="Times New Roman" w:hAnsi="Times New Roman"/>
          <w:sz w:val="15"/>
          <w:szCs w:val="15"/>
          <w:color w:val="auto"/>
        </w:rPr>
      </w:pPr>
    </w:p>
    <w:p>
      <w:pPr>
        <w:ind w:firstLine="541"/>
        <w:spacing w:after="0" w:line="272" w:lineRule="auto"/>
        <w:tabs>
          <w:tab w:leader="none" w:pos="766"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such Security which has been paid pursuant to Section 3.6 or in exchange for or in lieu of which other Securities have been authenticated and delivered pursuant to this Indenture, unless there shall have been presented to the Trustee proof satisfactory to it that such Security is held by a “protected purchaser” (as such term is defined in the New York Uniform Commercial Code) in whose hands such Security is a valid obligation of the Company; and</w:t>
      </w:r>
    </w:p>
    <w:p>
      <w:pPr>
        <w:spacing w:after="0" w:line="146" w:lineRule="exact"/>
        <w:rPr>
          <w:rFonts w:ascii="Times New Roman" w:cs="Times New Roman" w:eastAsia="Times New Roman" w:hAnsi="Times New Roman"/>
          <w:sz w:val="15"/>
          <w:szCs w:val="15"/>
          <w:color w:val="auto"/>
        </w:rPr>
      </w:pPr>
    </w:p>
    <w:p>
      <w:pPr>
        <w:ind w:right="180" w:firstLine="541"/>
        <w:spacing w:after="0" w:line="290" w:lineRule="auto"/>
        <w:tabs>
          <w:tab w:leader="none" w:pos="766"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such Security converted or exchanged as contemplated by this Indenture into Common Stock or other securities, cash or other property, if the terms of such Security provide for such conversion or exchange pursuant to Section 3.1;</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13" w:name="page114"/>
    <w:bookmarkEnd w:id="113"/>
    <w:p>
      <w:pPr>
        <w:ind w:firstLine="549"/>
        <w:spacing w:after="0" w:line="257" w:lineRule="auto"/>
        <w:rPr>
          <w:sz w:val="20"/>
          <w:szCs w:val="20"/>
          <w:color w:val="auto"/>
        </w:rPr>
      </w:pPr>
      <w:r>
        <w:rPr>
          <w:rFonts w:ascii="Times New Roman" w:cs="Times New Roman" w:eastAsia="Times New Roman" w:hAnsi="Times New Roman"/>
          <w:sz w:val="15"/>
          <w:szCs w:val="15"/>
          <w:color w:val="auto"/>
        </w:rPr>
        <w:t>provided, however, that in determining whether the Holders of the requisite principal amount of Outstanding Securities of any series have given any request, demand, authorization, direction, notice, consent or waiver hereunder or are present at a meeting of Holders of Securities of such series for quorum purposes, (i) the principal amount of an Original Issue Discount Security that may be counted in making such determination and that shall be deemed to be Outstanding for such purposes shall be equal to the amount of the principal thereof that pursuant to the terms of such Original Issue Discount Security would be declared (or shall have been declared to be) due and payable upon a declaration of acceleration thereof pursuant to Section 5.2 at the time of such determination, and (ii) the principal amount of any Indexed Security that may be counted in making such determination and that shall be deemed Outstanding for such purpose shall be equal to the principal face amount of such Indexed Security at original issuance, unless otherwise provided in or pursuant to this Indenture, and (iii) the principal amount of a Security denominated in a Foreign Currency shall be the Dollar equivalent, determined on the date of original issuance of such Security, of the principal amount (or, in the case of an Original Issue Discount Security, the Dollar equivalent on the date of original issuance of such Security of the amount determined as provided in (i) above) of such Security, and (iv) Securities owned by the Company or any other obligor upon the Securities or any Affiliate of the Company or such other obligor, shall be disregarded and deemed not to be Outstanding, except that, in determining whether the Trustee shall be protected in making any such determination or relying upon any such request, demand, authorization, direction, notice, consent or waiver, only Securities which a Responsible Officer actually knows to be so owned shall be so disregarded. Securities so owned which shall have been pledged in good faith may be regarded as Outstanding if the pledgee establishes to the satisfaction of a Responsible Officer (A) the pledgee’s right so to act with respect to such Securities and (B) that the pledgee is not the Company or any other obligor upon the Securities or an Affiliate of the Company or such other obligor.</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Participant</w:t>
      </w:r>
      <w:r>
        <w:rPr>
          <w:rFonts w:ascii="Times New Roman" w:cs="Times New Roman" w:eastAsia="Times New Roman" w:hAnsi="Times New Roman"/>
          <w:sz w:val="15"/>
          <w:szCs w:val="15"/>
          <w:color w:val="auto"/>
        </w:rPr>
        <w:t>” means, with respect to the Depositary, a Person who has an account with the Depositary.</w:t>
      </w:r>
    </w:p>
    <w:p>
      <w:pPr>
        <w:spacing w:after="0" w:line="194" w:lineRule="exact"/>
        <w:rPr>
          <w:sz w:val="20"/>
          <w:szCs w:val="20"/>
          <w:color w:val="auto"/>
        </w:rPr>
      </w:pPr>
    </w:p>
    <w:p>
      <w:pPr>
        <w:ind w:right="6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Paying Agent</w:t>
      </w:r>
      <w:r>
        <w:rPr>
          <w:rFonts w:ascii="Times New Roman" w:cs="Times New Roman" w:eastAsia="Times New Roman" w:hAnsi="Times New Roman"/>
          <w:sz w:val="15"/>
          <w:szCs w:val="15"/>
          <w:color w:val="auto"/>
        </w:rPr>
        <w:t>” means any Person authorized by the Company to pay the principal of, or any premium or interest on, or any Additional Amounts with respect to, any Security on behalf of the Company.</w:t>
      </w:r>
    </w:p>
    <w:p>
      <w:pPr>
        <w:spacing w:after="0" w:line="133" w:lineRule="exact"/>
        <w:rPr>
          <w:sz w:val="20"/>
          <w:szCs w:val="20"/>
          <w:color w:val="auto"/>
        </w:rPr>
      </w:pPr>
    </w:p>
    <w:p>
      <w:pPr>
        <w:ind w:right="42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person</w:t>
      </w:r>
      <w:r>
        <w:rPr>
          <w:rFonts w:ascii="Times New Roman" w:cs="Times New Roman" w:eastAsia="Times New Roman" w:hAnsi="Times New Roman"/>
          <w:sz w:val="15"/>
          <w:szCs w:val="15"/>
          <w:color w:val="auto"/>
        </w:rPr>
        <w:t>” means any individual, corporation, partnership, joint venture, joint-stock company, association, trust, unincorporated organization, limited liability company or government or any agency or political subdivision thereof.</w:t>
      </w:r>
    </w:p>
    <w:p>
      <w:pPr>
        <w:spacing w:after="0" w:line="133" w:lineRule="exact"/>
        <w:rPr>
          <w:sz w:val="20"/>
          <w:szCs w:val="20"/>
          <w:color w:val="auto"/>
        </w:rPr>
      </w:pPr>
    </w:p>
    <w:p>
      <w:pPr>
        <w:ind w:right="12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Place of Payment</w:t>
      </w:r>
      <w:r>
        <w:rPr>
          <w:rFonts w:ascii="Times New Roman" w:cs="Times New Roman" w:eastAsia="Times New Roman" w:hAnsi="Times New Roman"/>
          <w:sz w:val="15"/>
          <w:szCs w:val="15"/>
          <w:color w:val="auto"/>
        </w:rPr>
        <w:t>” means, with respect to any Security, the place or places where the principal of, or any premium or interest on, or any Additional Amounts with respect to such Security are payable as provided in or pursuant to this Indenture or such Security.</w:t>
      </w:r>
    </w:p>
    <w:p>
      <w:pPr>
        <w:spacing w:after="0" w:line="133" w:lineRule="exact"/>
        <w:rPr>
          <w:sz w:val="20"/>
          <w:szCs w:val="20"/>
          <w:color w:val="auto"/>
        </w:rPr>
      </w:pPr>
    </w:p>
    <w:p>
      <w:pPr>
        <w:ind w:right="120"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Predecessor Security</w:t>
      </w:r>
      <w:r>
        <w:rPr>
          <w:rFonts w:ascii="Times New Roman" w:cs="Times New Roman" w:eastAsia="Times New Roman" w:hAnsi="Times New Roman"/>
          <w:sz w:val="15"/>
          <w:szCs w:val="15"/>
          <w:color w:val="auto"/>
        </w:rPr>
        <w:t>” of any particular Security means every previous Security evidencing all or a portion of the same indebtedness as that evidenced by such particular Security; and, for the purposes of this definition, any Security authenticated and delivered under Section 3.6 in exchange for or in lieu of a lost, destroyed, mutilated or stolen Security shall be deemed to evidence the same indebtedness as the lost, destroyed, mutilated or stolen Security.</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14" w:name="page115"/>
    <w:bookmarkEnd w:id="114"/>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Redemption Date</w:t>
      </w:r>
      <w:r>
        <w:rPr>
          <w:rFonts w:ascii="Times New Roman" w:cs="Times New Roman" w:eastAsia="Times New Roman" w:hAnsi="Times New Roman"/>
          <w:sz w:val="15"/>
          <w:szCs w:val="15"/>
          <w:color w:val="auto"/>
        </w:rPr>
        <w:t>” means, with respect to any Security or portion thereof to be redeemed, each date fixed for such redemption by or pursuant to this Indenture or such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Security.</w:t>
      </w:r>
    </w:p>
    <w:p>
      <w:pPr>
        <w:spacing w:after="0" w:line="179"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Redemption Price</w:t>
      </w:r>
      <w:r>
        <w:rPr>
          <w:rFonts w:ascii="Times New Roman" w:cs="Times New Roman" w:eastAsia="Times New Roman" w:hAnsi="Times New Roman"/>
          <w:sz w:val="15"/>
          <w:szCs w:val="15"/>
          <w:color w:val="auto"/>
        </w:rPr>
        <w:t>” means, with respect to any Security or portion thereof to be redeemed, the price at which it is to be redeemed including, if applicable, accrued and unpaid interest and Additional Amounts as determined by or pursuant to this Indenture or such Security.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Registered Security</w:t>
      </w:r>
      <w:r>
        <w:rPr>
          <w:rFonts w:ascii="Times New Roman" w:cs="Times New Roman" w:eastAsia="Times New Roman" w:hAnsi="Times New Roman"/>
          <w:sz w:val="15"/>
          <w:szCs w:val="15"/>
          <w:color w:val="auto"/>
        </w:rPr>
        <w:t>” means any Security established pursuant to Section 2.1 which is registered in the Security Register.</w:t>
      </w:r>
    </w:p>
    <w:p>
      <w:pPr>
        <w:spacing w:after="0" w:line="194" w:lineRule="exact"/>
        <w:rPr>
          <w:sz w:val="20"/>
          <w:szCs w:val="20"/>
          <w:color w:val="auto"/>
        </w:rPr>
      </w:pPr>
    </w:p>
    <w:p>
      <w:pPr>
        <w:ind w:right="46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Regular Record Date</w:t>
      </w:r>
      <w:r>
        <w:rPr>
          <w:rFonts w:ascii="Times New Roman" w:cs="Times New Roman" w:eastAsia="Times New Roman" w:hAnsi="Times New Roman"/>
          <w:sz w:val="15"/>
          <w:szCs w:val="15"/>
          <w:color w:val="auto"/>
        </w:rPr>
        <w:t>” for the interest payable on any Registered Security on any Interest Payment Date therefor means the date, if any, specified in or pursuant to this Indenture or such Security as the “Regular Record Date.”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Required Currency</w:t>
      </w:r>
      <w:r>
        <w:rPr>
          <w:rFonts w:ascii="Times New Roman" w:cs="Times New Roman" w:eastAsia="Times New Roman" w:hAnsi="Times New Roman"/>
          <w:sz w:val="15"/>
          <w:szCs w:val="15"/>
          <w:color w:val="auto"/>
        </w:rPr>
        <w:t>” has the meaning specified in Section 1.16.</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Responsible Officer</w:t>
      </w:r>
      <w:r>
        <w:rPr>
          <w:rFonts w:ascii="Times New Roman" w:cs="Times New Roman" w:eastAsia="Times New Roman" w:hAnsi="Times New Roman"/>
          <w:sz w:val="15"/>
          <w:szCs w:val="15"/>
          <w:color w:val="auto"/>
        </w:rPr>
        <w:t>” means any officer of the Trustee in its Corporate Trust Office with direct responsibility for the administration of this Indenture, and also, with respect to a particular corporate trust matter, any other officer of the Trustee to whom such matter is referred because of such officer’s knowledge of and familiarity with the particular subject.</w:t>
      </w:r>
    </w:p>
    <w:p>
      <w:pPr>
        <w:spacing w:after="0" w:line="133" w:lineRule="exact"/>
        <w:rPr>
          <w:sz w:val="20"/>
          <w:szCs w:val="20"/>
          <w:color w:val="auto"/>
        </w:rPr>
      </w:pPr>
    </w:p>
    <w:p>
      <w:pPr>
        <w:ind w:right="260"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Security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Securities</w:t>
      </w:r>
      <w:r>
        <w:rPr>
          <w:rFonts w:ascii="Times New Roman" w:cs="Times New Roman" w:eastAsia="Times New Roman" w:hAnsi="Times New Roman"/>
          <w:sz w:val="15"/>
          <w:szCs w:val="15"/>
          <w:color w:val="auto"/>
        </w:rPr>
        <w:t>” means any note or notes, bond or bonds, debenture or debentures, or any other evidences of indebtedness, as the case may be, authenticated and delivered under this Indenture; provided, however, that, if at any time there is more than one Person acting as Trustee under this Indenture, “Securities,” with respect to any such Person, shall mean Securities authenticated and delivered under this Indenture, exclusive, however, of Securities of any series as to which such Person is not Trustee.</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Security Register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u w:val="single" w:color="auto"/>
          <w:color w:val="auto"/>
        </w:rPr>
        <w:t>Security Registrar</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u w:val="single" w:color="auto"/>
          <w:color w:val="auto"/>
        </w:rPr>
        <w:t>Registrar</w:t>
      </w:r>
      <w:r>
        <w:rPr>
          <w:rFonts w:ascii="Times New Roman" w:cs="Times New Roman" w:eastAsia="Times New Roman" w:hAnsi="Times New Roman"/>
          <w:sz w:val="15"/>
          <w:szCs w:val="15"/>
          <w:color w:val="auto"/>
        </w:rPr>
        <w:t>” have the respective meanings specified in Section 3.5.</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series</w:t>
      </w:r>
      <w:r>
        <w:rPr>
          <w:rFonts w:ascii="Times New Roman" w:cs="Times New Roman" w:eastAsia="Times New Roman" w:hAnsi="Times New Roman"/>
          <w:sz w:val="15"/>
          <w:szCs w:val="15"/>
          <w:color w:val="auto"/>
        </w:rPr>
        <w:t>” means a series of Securities established under this Indenture.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Special Record Date</w:t>
      </w:r>
      <w:r>
        <w:rPr>
          <w:rFonts w:ascii="Times New Roman" w:cs="Times New Roman" w:eastAsia="Times New Roman" w:hAnsi="Times New Roman"/>
          <w:sz w:val="15"/>
          <w:szCs w:val="15"/>
          <w:color w:val="auto"/>
        </w:rPr>
        <w:t>” for the payment of any Defaulted Interest on any Registered Security means a date fixed by the Trustee pursuant to Section 3.7.</w:t>
      </w:r>
    </w:p>
    <w:p>
      <w:pPr>
        <w:spacing w:after="0" w:line="194" w:lineRule="exact"/>
        <w:rPr>
          <w:sz w:val="20"/>
          <w:szCs w:val="20"/>
          <w:color w:val="auto"/>
        </w:rPr>
      </w:pPr>
    </w:p>
    <w:p>
      <w:pPr>
        <w:ind w:right="120"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Stated Maturity</w:t>
      </w:r>
      <w:r>
        <w:rPr>
          <w:rFonts w:ascii="Times New Roman" w:cs="Times New Roman" w:eastAsia="Times New Roman" w:hAnsi="Times New Roman"/>
          <w:sz w:val="15"/>
          <w:szCs w:val="15"/>
          <w:color w:val="auto"/>
        </w:rPr>
        <w:t>” means, with respect to any Security or any installment of principal thereof or interest thereon or any Additional Amounts with respect thereto, the date established by or pursuant to this Indenture or such Security as the fixed date on which the principal of such Security or such installment of principal or interest is, or such Additional Amounts are, due and payable.</w:t>
      </w:r>
    </w:p>
    <w:p>
      <w:pPr>
        <w:spacing w:after="0" w:line="146" w:lineRule="exact"/>
        <w:rPr>
          <w:sz w:val="20"/>
          <w:szCs w:val="20"/>
          <w:color w:val="auto"/>
        </w:rPr>
      </w:pPr>
    </w:p>
    <w:p>
      <w:pPr>
        <w:ind w:right="40"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Trust Indenture Act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TIA</w:t>
      </w:r>
      <w:r>
        <w:rPr>
          <w:rFonts w:ascii="Times New Roman" w:cs="Times New Roman" w:eastAsia="Times New Roman" w:hAnsi="Times New Roman"/>
          <w:sz w:val="15"/>
          <w:szCs w:val="15"/>
          <w:color w:val="auto"/>
        </w:rPr>
        <w:t>” means the Trust Indenture Act of 1939, as amended, and any reference herein to the Trust Indenture Act or a particular provision thereof shall mean such Act or provision, as the case may be, as amended or replaced from time to time or as supplemented from time to time by rules or regulations adopted by the Commission under or in furtherance of the purposes of such Act or provision, as the case may be.</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115" w:name="page116"/>
    <w:bookmarkEnd w:id="115"/>
    <w:p>
      <w:pPr>
        <w:ind w:firstLine="549"/>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Trustee</w:t>
      </w:r>
      <w:r>
        <w:rPr>
          <w:rFonts w:ascii="Times New Roman" w:cs="Times New Roman" w:eastAsia="Times New Roman" w:hAnsi="Times New Roman"/>
          <w:sz w:val="15"/>
          <w:szCs w:val="15"/>
          <w:color w:val="auto"/>
        </w:rPr>
        <w:t>” means the Person named as the “Trustee” in the first paragraph of this instrument until a successor Trustee shall have become such with respect to one or more series of Securities pursuant to the applicable provisions of this Indenture, and thereafter “Trustee” shall mean each Person who is then a Trustee hereunder; provided, however, that if at any time there is more than one such Person, “Trustee” shall mean each such Person and as used with respect to the Securities of any series shall mean only the Trustee with respect to the Securities of such series.</w:t>
      </w:r>
    </w:p>
    <w:p>
      <w:pPr>
        <w:spacing w:after="0" w:line="151"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United States</w:t>
      </w:r>
      <w:r>
        <w:rPr>
          <w:rFonts w:ascii="Times New Roman" w:cs="Times New Roman" w:eastAsia="Times New Roman" w:hAnsi="Times New Roman"/>
          <w:sz w:val="15"/>
          <w:szCs w:val="15"/>
          <w:color w:val="auto"/>
        </w:rPr>
        <w:t>” means, except as otherwise provided in or pursuant to this Indenture or any Security, the United States of America (including the states thereof and the District of Columbia), its territories and possessions and other areas subject to its jurisdiction.</w:t>
      </w:r>
    </w:p>
    <w:p>
      <w:pPr>
        <w:spacing w:after="0" w:line="133"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United States Alien</w:t>
      </w:r>
      <w:r>
        <w:rPr>
          <w:rFonts w:ascii="Times New Roman" w:cs="Times New Roman" w:eastAsia="Times New Roman" w:hAnsi="Times New Roman"/>
          <w:sz w:val="15"/>
          <w:szCs w:val="15"/>
          <w:color w:val="auto"/>
        </w:rPr>
        <w:t>” means, except as otherwise provided in or pursuant to this Indenture or any Security,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46" w:lineRule="exact"/>
        <w:rPr>
          <w:sz w:val="20"/>
          <w:szCs w:val="20"/>
          <w:color w:val="auto"/>
        </w:rPr>
      </w:pPr>
    </w:p>
    <w:p>
      <w:pPr>
        <w:ind w:right="220" w:firstLine="549"/>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U.S. Depositary</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Depositary</w:t>
      </w:r>
      <w:r>
        <w:rPr>
          <w:rFonts w:ascii="Times New Roman" w:cs="Times New Roman" w:eastAsia="Times New Roman" w:hAnsi="Times New Roman"/>
          <w:sz w:val="15"/>
          <w:szCs w:val="15"/>
          <w:color w:val="auto"/>
        </w:rPr>
        <w:t>” means, with respect to any Security issuable or issued in the form of one or more Global Securities, the Person designated as U.S. Depositary or Depositary by the Company in or pursuant to this Indenture, which Person must be, to the extent required by applicable law or regulation, a clearing agency registered under the Exchange Act and, if so provided with respect to any Security, any successor to such Person. If at any time there is more than one such Person, “U.S. Depositary” or “Depositary” shall mean, with respect to any Securities, the qualifying entity which has been appointed with respect to such Securities.</w:t>
      </w:r>
    </w:p>
    <w:p>
      <w:pPr>
        <w:spacing w:after="0" w:line="151" w:lineRule="exact"/>
        <w:rPr>
          <w:sz w:val="20"/>
          <w:szCs w:val="20"/>
          <w:color w:val="auto"/>
        </w:rPr>
      </w:pPr>
    </w:p>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Vice President</w:t>
      </w:r>
      <w:r>
        <w:rPr>
          <w:rFonts w:ascii="Times New Roman" w:cs="Times New Roman" w:eastAsia="Times New Roman" w:hAnsi="Times New Roman"/>
          <w:sz w:val="15"/>
          <w:szCs w:val="15"/>
          <w:color w:val="auto"/>
        </w:rPr>
        <w:t>” means, when used with respect to the Company or the Trustee, any vice president, whether or not designated by a number or a word or words added before or after the title “Vice President.”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u w:val="single" w:color="auto"/>
          <w:color w:val="auto"/>
        </w:rPr>
        <w:t>Compliance Certificates and Opinions</w:t>
      </w:r>
    </w:p>
    <w:p>
      <w:pPr>
        <w:spacing w:after="0" w:line="194" w:lineRule="exact"/>
        <w:rPr>
          <w:sz w:val="20"/>
          <w:szCs w:val="20"/>
          <w:color w:val="auto"/>
        </w:rPr>
      </w:pPr>
    </w:p>
    <w:p>
      <w:pPr>
        <w:ind w:firstLine="549"/>
        <w:spacing w:after="0" w:line="263" w:lineRule="auto"/>
        <w:rPr>
          <w:sz w:val="20"/>
          <w:szCs w:val="20"/>
          <w:color w:val="auto"/>
        </w:rPr>
      </w:pPr>
      <w:r>
        <w:rPr>
          <w:rFonts w:ascii="Times New Roman" w:cs="Times New Roman" w:eastAsia="Times New Roman" w:hAnsi="Times New Roman"/>
          <w:sz w:val="15"/>
          <w:szCs w:val="15"/>
          <w:color w:val="auto"/>
        </w:rPr>
        <w:t>Except as otherwise expressly provided in or pursuant to this Indenture,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or any of them is specifically required by any provision of this Indenture relating to such particular application or request, no additional certificate or opinion need be furnished.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16" w:name="page117"/>
    <w:bookmarkEnd w:id="116"/>
    <w:p>
      <w:pPr>
        <w:ind w:left="540"/>
        <w:spacing w:after="0"/>
        <w:rPr>
          <w:sz w:val="20"/>
          <w:szCs w:val="20"/>
          <w:color w:val="auto"/>
        </w:rPr>
      </w:pPr>
      <w:r>
        <w:rPr>
          <w:rFonts w:ascii="Times New Roman" w:cs="Times New Roman" w:eastAsia="Times New Roman" w:hAnsi="Times New Roman"/>
          <w:sz w:val="15"/>
          <w:szCs w:val="15"/>
          <w:color w:val="auto"/>
        </w:rPr>
        <w:t>Every certificate or opinion with respect to compliance with a condition or covenant or covenant provided for in this Indenture (other than a certificate delivered pursuant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Section 7.4(4)) shall include:</w:t>
      </w:r>
    </w:p>
    <w:p>
      <w:pPr>
        <w:spacing w:after="0" w:line="179" w:lineRule="exact"/>
        <w:rPr>
          <w:sz w:val="20"/>
          <w:szCs w:val="20"/>
          <w:color w:val="auto"/>
        </w:rPr>
      </w:pPr>
    </w:p>
    <w:p>
      <w:pPr>
        <w:ind w:left="760" w:hanging="219"/>
        <w:spacing w:after="0"/>
        <w:tabs>
          <w:tab w:leader="none" w:pos="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each individual signing such certificate or opinion has read such condition or covenant and the definitions herein relating thereto;</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brief statement as to the nature and scope of the examination or investigation upon which the statements or opinions contained in such certificate or opinion are based;</w:t>
      </w:r>
    </w:p>
    <w:p>
      <w:pPr>
        <w:spacing w:after="0" w:line="193" w:lineRule="exact"/>
        <w:rPr>
          <w:rFonts w:ascii="Times New Roman" w:cs="Times New Roman" w:eastAsia="Times New Roman" w:hAnsi="Times New Roman"/>
          <w:sz w:val="15"/>
          <w:szCs w:val="15"/>
          <w:color w:val="auto"/>
        </w:rPr>
      </w:pPr>
    </w:p>
    <w:p>
      <w:pPr>
        <w:ind w:right="180" w:firstLine="541"/>
        <w:spacing w:after="0" w:line="290" w:lineRule="auto"/>
        <w:tabs>
          <w:tab w:leader="none" w:pos="766"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that, in the opinion of each such individual, he or she has made such examination or investigation as is necessary to enable him or her to express an informed opinion as to whether or not such condition or covenant has been complied with; and</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statement as to whether, in the opinion of each such individual, such condition or covenant has been complied with.</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1.3 </w:t>
      </w:r>
      <w:r>
        <w:rPr>
          <w:rFonts w:ascii="Times New Roman" w:cs="Times New Roman" w:eastAsia="Times New Roman" w:hAnsi="Times New Roman"/>
          <w:sz w:val="15"/>
          <w:szCs w:val="15"/>
          <w:u w:val="single" w:color="auto"/>
          <w:color w:val="auto"/>
        </w:rPr>
        <w:t>Form of Documents Delivered to Trustee</w:t>
      </w:r>
    </w:p>
    <w:p>
      <w:pPr>
        <w:spacing w:after="0" w:line="194" w:lineRule="exact"/>
        <w:rPr>
          <w:sz w:val="20"/>
          <w:szCs w:val="20"/>
          <w:color w:val="auto"/>
        </w:rPr>
      </w:pPr>
    </w:p>
    <w:p>
      <w:pPr>
        <w:ind w:right="80" w:firstLine="549"/>
        <w:spacing w:after="0" w:line="272" w:lineRule="auto"/>
        <w:rPr>
          <w:sz w:val="20"/>
          <w:szCs w:val="20"/>
          <w:color w:val="auto"/>
        </w:rPr>
      </w:pPr>
      <w:r>
        <w:rPr>
          <w:rFonts w:ascii="Times New Roman" w:cs="Times New Roman" w:eastAsia="Times New Roman" w:hAnsi="Times New Roman"/>
          <w:sz w:val="15"/>
          <w:szCs w:val="15"/>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6"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Any certificate or opinion of an Officer of the Company may be based, insofar as it relates to legal matters, upon an Opinion of Counsel, unless such Officer knows that the opinion with respect to the matters upon which his certificate or opinion is based are erroneous. Any such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that the certificate or opinion or representations with respect to such matters are erroneous. Any certificate, statement or opinion of an Officer of the Company or any Opinion of Counsel may be based, insofar as it relates to accounting matters, upon a certificate or opinion of or representations by an accountant or firm of accountants in the employ of the Company, unless such Officer or counsel, as the case may be, knows that the certificate or opinion or representations with respect to the accounting matters upon which his certificate, statement or opinion may be based as aforesaid are erroneous.</w:t>
      </w:r>
    </w:p>
    <w:p>
      <w:pPr>
        <w:spacing w:after="0" w:line="157" w:lineRule="exact"/>
        <w:rPr>
          <w:sz w:val="20"/>
          <w:szCs w:val="20"/>
          <w:color w:val="auto"/>
        </w:rPr>
      </w:pPr>
    </w:p>
    <w:p>
      <w:pPr>
        <w:ind w:right="40" w:firstLine="549"/>
        <w:spacing w:after="0" w:line="290" w:lineRule="auto"/>
        <w:rPr>
          <w:sz w:val="20"/>
          <w:szCs w:val="20"/>
          <w:color w:val="auto"/>
        </w:rPr>
      </w:pPr>
      <w:r>
        <w:rPr>
          <w:rFonts w:ascii="Times New Roman" w:cs="Times New Roman" w:eastAsia="Times New Roman" w:hAnsi="Times New Roman"/>
          <w:sz w:val="15"/>
          <w:szCs w:val="15"/>
          <w:color w:val="auto"/>
        </w:rPr>
        <w:t>Where any Person is required to make, give or execute two or more applications, requests, consents, certificates, statements, opinions or other instruments under this Indenture or any Security, they may, but need not, be consolidated and form one instrument.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7" w:name="page118"/>
    <w:bookmarkEnd w:id="117"/>
    <w:p>
      <w:pPr>
        <w:ind w:left="540"/>
        <w:spacing w:after="0"/>
        <w:rPr>
          <w:sz w:val="20"/>
          <w:szCs w:val="20"/>
          <w:color w:val="auto"/>
        </w:rPr>
      </w:pPr>
      <w:r>
        <w:rPr>
          <w:rFonts w:ascii="Times New Roman" w:cs="Times New Roman" w:eastAsia="Times New Roman" w:hAnsi="Times New Roman"/>
          <w:sz w:val="15"/>
          <w:szCs w:val="15"/>
          <w:color w:val="auto"/>
        </w:rPr>
        <w:t xml:space="preserve">Section 1.4 </w:t>
      </w:r>
      <w:r>
        <w:rPr>
          <w:rFonts w:ascii="Times New Roman" w:cs="Times New Roman" w:eastAsia="Times New Roman" w:hAnsi="Times New Roman"/>
          <w:sz w:val="15"/>
          <w:szCs w:val="15"/>
          <w:u w:val="single" w:color="auto"/>
          <w:color w:val="auto"/>
        </w:rPr>
        <w:t>Acts of Holders</w:t>
      </w:r>
    </w:p>
    <w:p>
      <w:pPr>
        <w:spacing w:after="0" w:line="194" w:lineRule="exact"/>
        <w:rPr>
          <w:sz w:val="20"/>
          <w:szCs w:val="20"/>
          <w:color w:val="auto"/>
        </w:rPr>
      </w:pPr>
    </w:p>
    <w:p>
      <w:pPr>
        <w:ind w:right="20" w:firstLine="541"/>
        <w:spacing w:after="0" w:line="258" w:lineRule="auto"/>
        <w:tabs>
          <w:tab w:leader="none" w:pos="766"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request, demand, authorization, direction, notice, consent, waiver or other action provided by or pursuant to this Indenture to be given or taken by Holders may be embodied in and evidenced by one or more instruments (including instruments in electronic, digital or other machine-readable form) of substantially similar tenor signed by such Holders (whether in person or through signatures in electronic, digital or other machine-readable form) or by an agent duly appointed in writing (including writings in electronic, digital or other machine-readable form) or may be embodied in and evidenced by the record of Holders voting in favor thereof, either in person or by proxies duly appointed in writing, at any meeting of Holders duly called and held in accordance with the provisions of Article 15, or a combination of such instruments or record. Except as herein otherwise expressly provided, such action shall become effective when such instrument or instruments or record or both are delivered to the Trustee and, where it is hereby expressly required, to the Company. Such instrument or instruments or record or both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(subject to Section 315 of the Trust Indenture Act) conclusive in favor of the Trustee and the Company and any agent of the Trustee or the Company, if made in the manner provided in this Section 1.4. The record of any meeting of Holders of Securities shall be proved in the manner provided in Section 15.6.</w:t>
      </w:r>
    </w:p>
    <w:p>
      <w:pPr>
        <w:spacing w:after="0" w:line="344" w:lineRule="exact"/>
        <w:rPr>
          <w:sz w:val="20"/>
          <w:szCs w:val="20"/>
          <w:color w:val="auto"/>
        </w:rPr>
      </w:pPr>
    </w:p>
    <w:p>
      <w:pPr>
        <w:ind w:right="20" w:firstLine="549"/>
        <w:spacing w:after="0" w:line="266" w:lineRule="auto"/>
        <w:rPr>
          <w:sz w:val="20"/>
          <w:szCs w:val="20"/>
          <w:color w:val="auto"/>
        </w:rPr>
      </w:pPr>
      <w:r>
        <w:rPr>
          <w:rFonts w:ascii="Times New Roman" w:cs="Times New Roman" w:eastAsia="Times New Roman" w:hAnsi="Times New Roman"/>
          <w:sz w:val="15"/>
          <w:szCs w:val="15"/>
          <w:color w:val="auto"/>
        </w:rPr>
        <w:t>Without limiting the generality of this Section 1.4, unless otherwise provided in or pursuant to this Indenture, a Holder, including a U.S. Depositary that is a Holder of a Global Security, may make, give or take, by a proxy or proxies, duly appointed in writing, any request, demand, authorization, direction, notice, consent, waiver or other Act provided in or pursuant to this Indenture or the Securities to be made, given or taken by Holders, and a U.S. Depositary that is a Holder of a Global Security may provide its proxy or proxies to the beneficial owners of interests in any such Global Security through such U.S. Depositary’s standing instructions and customary practices.</w:t>
      </w:r>
    </w:p>
    <w:p>
      <w:pPr>
        <w:spacing w:after="0" w:line="151" w:lineRule="exact"/>
        <w:rPr>
          <w:sz w:val="20"/>
          <w:szCs w:val="20"/>
          <w:color w:val="auto"/>
        </w:rPr>
      </w:pPr>
    </w:p>
    <w:p>
      <w:pPr>
        <w:ind w:right="120" w:firstLine="549"/>
        <w:spacing w:after="0" w:line="272" w:lineRule="auto"/>
        <w:rPr>
          <w:sz w:val="20"/>
          <w:szCs w:val="20"/>
          <w:color w:val="auto"/>
        </w:rPr>
      </w:pPr>
      <w:r>
        <w:rPr>
          <w:rFonts w:ascii="Times New Roman" w:cs="Times New Roman" w:eastAsia="Times New Roman" w:hAnsi="Times New Roman"/>
          <w:sz w:val="15"/>
          <w:szCs w:val="15"/>
          <w:color w:val="auto"/>
        </w:rPr>
        <w:t>The Trustee may fix a record date for the purpose of determining the Persons who are beneficial owners of interests in any permanent Global Security held by a U.S. Depositary entitled under the procedures of such U.S. Depositary to make, give or take, by a proxy or proxies duly appointed in writing, any request, demand, authorization, direction, notice, consent, waiver or other Act provided in or pursuant to this Indenture to be made, given or taken by Holders.</w:t>
      </w:r>
    </w:p>
    <w:p>
      <w:pPr>
        <w:spacing w:after="0" w:line="146" w:lineRule="exact"/>
        <w:rPr>
          <w:sz w:val="20"/>
          <w:szCs w:val="20"/>
          <w:color w:val="auto"/>
        </w:rPr>
      </w:pPr>
    </w:p>
    <w:p>
      <w:pPr>
        <w:ind w:firstLine="541"/>
        <w:spacing w:after="0" w:line="272" w:lineRule="auto"/>
        <w:tabs>
          <w:tab w:leader="none" w:pos="766"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and date of the execution by any Person of any such instrument or writing referred to in this Section 1.4 may be proved in any reasonable manner which the Trustee deems sufficient and in accordance with such reasonable rules as the Trustee may determine; and the Trustee may in any instance require further proof with respect to any of the matters referred to in this Section 1.4.</w:t>
      </w:r>
    </w:p>
    <w:p>
      <w:pPr>
        <w:spacing w:after="0" w:line="146" w:lineRule="exact"/>
        <w:rPr>
          <w:rFonts w:ascii="Times New Roman" w:cs="Times New Roman" w:eastAsia="Times New Roman" w:hAnsi="Times New Roman"/>
          <w:sz w:val="15"/>
          <w:szCs w:val="15"/>
          <w:color w:val="auto"/>
        </w:rPr>
      </w:pPr>
    </w:p>
    <w:p>
      <w:pPr>
        <w:ind w:right="300" w:firstLine="541"/>
        <w:spacing w:after="0" w:line="290" w:lineRule="auto"/>
        <w:tabs>
          <w:tab w:leader="none" w:pos="766"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ownership, principal amount and serial numbers of Registered Securities held by any Person, and the date of the commencement and the date of the termination of holding the same, shall be proved by the Security Register.</w:t>
      </w:r>
    </w:p>
    <w:p>
      <w:pPr>
        <w:spacing w:after="0" w:line="132" w:lineRule="exact"/>
        <w:rPr>
          <w:rFonts w:ascii="Times New Roman" w:cs="Times New Roman" w:eastAsia="Times New Roman" w:hAnsi="Times New Roman"/>
          <w:sz w:val="15"/>
          <w:szCs w:val="15"/>
          <w:color w:val="auto"/>
        </w:rPr>
      </w:pPr>
    </w:p>
    <w:p>
      <w:pPr>
        <w:ind w:right="20" w:firstLine="541"/>
        <w:spacing w:after="0" w:line="259" w:lineRule="auto"/>
        <w:tabs>
          <w:tab w:leader="none" w:pos="766"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Company shall solicit from the Holders of any Registered Securities any request, demand, authorization, direction, notice, consent, waiver or other Act, the Company may, at its option (but is not obligated to), by Board Resolution, fix in advance a record date for the determination of Holders of Registered Securities entitled to give such request, demand, authorization, direction, notice, consent, waiver or other Act. If such a record date is fixed, such request, demand, authorization, direction, notice, consent, waiver or other Act may be given before or after such record date, but only the Holders of Registered Securities of record at the close of business on such record date shall be deemed to be Holders for the purpose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of Registered Securities shall be deemed effective unless it shall become effective pursuant to the provisions of this Indenture not later than six months after the record date.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8" w:name="page119"/>
    <w:bookmarkEnd w:id="118"/>
    <w:p>
      <w:pPr>
        <w:jc w:val="both"/>
        <w:ind w:right="140" w:firstLine="541"/>
        <w:spacing w:after="0" w:line="272" w:lineRule="auto"/>
        <w:tabs>
          <w:tab w:leader="none" w:pos="766"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request, demand, authorization, direction, notice, consent, waiver or other Act by the Holder of any Security shall bind every future Holder of the same Security and the Holder of every Security issued upon the registration of transfer thereof or in exchange therefor or in lieu thereof in respect of anything done or suffered to be done by the Trustee, any Security Registrar, any Paying Agent or the Company in reliance thereon, whether or not notation of such Act is made upon such Security.</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1.5 </w:t>
      </w:r>
      <w:r>
        <w:rPr>
          <w:rFonts w:ascii="Times New Roman" w:cs="Times New Roman" w:eastAsia="Times New Roman" w:hAnsi="Times New Roman"/>
          <w:sz w:val="15"/>
          <w:szCs w:val="15"/>
          <w:u w:val="single" w:color="auto"/>
          <w:color w:val="auto"/>
        </w:rPr>
        <w:t>Notices, etc., to Trustee and Company</w:t>
      </w:r>
    </w:p>
    <w:p>
      <w:pPr>
        <w:spacing w:after="0" w:line="194" w:lineRule="exact"/>
        <w:rPr>
          <w:sz w:val="20"/>
          <w:szCs w:val="20"/>
          <w:color w:val="auto"/>
        </w:rPr>
      </w:pPr>
    </w:p>
    <w:p>
      <w:pPr>
        <w:ind w:right="280" w:firstLine="549"/>
        <w:spacing w:after="0" w:line="290" w:lineRule="auto"/>
        <w:rPr>
          <w:sz w:val="20"/>
          <w:szCs w:val="20"/>
          <w:color w:val="auto"/>
        </w:rPr>
      </w:pPr>
      <w:r>
        <w:rPr>
          <w:rFonts w:ascii="Times New Roman" w:cs="Times New Roman" w:eastAsia="Times New Roman" w:hAnsi="Times New Roman"/>
          <w:sz w:val="15"/>
          <w:szCs w:val="15"/>
          <w:color w:val="auto"/>
        </w:rPr>
        <w:t>Any request, demand, authorization, direction, notice, consent, waiver or other Act of Holders or other document provided or permitted by this Indenture to be made upon, given or furnished to, or filed with:</w:t>
      </w:r>
    </w:p>
    <w:p>
      <w:pPr>
        <w:spacing w:after="0" w:line="133" w:lineRule="exact"/>
        <w:rPr>
          <w:sz w:val="20"/>
          <w:szCs w:val="20"/>
          <w:color w:val="auto"/>
        </w:rPr>
      </w:pPr>
    </w:p>
    <w:p>
      <w:pPr>
        <w:ind w:right="40" w:firstLine="541"/>
        <w:spacing w:after="0" w:line="290" w:lineRule="auto"/>
        <w:tabs>
          <w:tab w:leader="none" w:pos="766"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by any Holder or the Company shall be sufficient for every purpose hereunder if made, given, furnished or filed in writing (which may be via facsimile or other electronic transmission) to or with the Trustee at its Corporate Trust Office; or</w:t>
      </w:r>
    </w:p>
    <w:p>
      <w:pPr>
        <w:spacing w:after="0" w:line="132" w:lineRule="exact"/>
        <w:rPr>
          <w:rFonts w:ascii="Times New Roman" w:cs="Times New Roman" w:eastAsia="Times New Roman" w:hAnsi="Times New Roman"/>
          <w:sz w:val="15"/>
          <w:szCs w:val="15"/>
          <w:color w:val="auto"/>
        </w:rPr>
      </w:pPr>
    </w:p>
    <w:p>
      <w:pPr>
        <w:jc w:val="both"/>
        <w:ind w:right="80" w:firstLine="541"/>
        <w:spacing w:after="0" w:line="272" w:lineRule="auto"/>
        <w:tabs>
          <w:tab w:leader="none" w:pos="766"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by the Trustee or any Holder shall be sufficient for every purpose hereunder (unless otherwise herein expressly provided) if in writing and mailed, first-class postage prepaid or airmail postage prepaid if sent from outside the United States, to the Company addressed to the attention of its Treasurer (with a copy to the General Counsel) at the address of its principal office at 730 Broadway, Redwood City, CA, 94063, or to any other address previously furnished in writing to the Trustee by the Company.</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1.6 </w:t>
      </w:r>
      <w:r>
        <w:rPr>
          <w:rFonts w:ascii="Times New Roman" w:cs="Times New Roman" w:eastAsia="Times New Roman" w:hAnsi="Times New Roman"/>
          <w:sz w:val="15"/>
          <w:szCs w:val="15"/>
          <w:u w:val="single" w:color="auto"/>
          <w:color w:val="auto"/>
        </w:rPr>
        <w:t>Notice to Holders of Securities; Waiver</w:t>
      </w:r>
    </w:p>
    <w:p>
      <w:pPr>
        <w:spacing w:after="0" w:line="194" w:lineRule="exact"/>
        <w:rPr>
          <w:sz w:val="20"/>
          <w:szCs w:val="20"/>
          <w:color w:val="auto"/>
        </w:rPr>
      </w:pPr>
    </w:p>
    <w:p>
      <w:pPr>
        <w:ind w:firstLine="549"/>
        <w:spacing w:after="0" w:line="259" w:lineRule="auto"/>
        <w:rPr>
          <w:sz w:val="20"/>
          <w:szCs w:val="20"/>
          <w:color w:val="auto"/>
        </w:rPr>
      </w:pPr>
      <w:r>
        <w:rPr>
          <w:rFonts w:ascii="Times New Roman" w:cs="Times New Roman" w:eastAsia="Times New Roman" w:hAnsi="Times New Roman"/>
          <w:sz w:val="15"/>
          <w:szCs w:val="15"/>
          <w:color w:val="auto"/>
        </w:rPr>
        <w:t>Except as otherwise expressly provided in or pursuant to this Indenture, where this Indenture provides for notice to Holders of Securities of all or any series of any event, such notice shall be sufficiently given to Holders of Registered Securities of such series if in writing, which may be by facsimile or other electronic transmission, or mailed, first-class postage prepaid, to each Holder of a Registered Security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given as provided herein. Any notice which is mailed in the manner herein provided shall be conclusively presumed to have been duly given or provided. In the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19" w:name="page120"/>
    <w:bookmarkEnd w:id="119"/>
    <w:p>
      <w:pPr>
        <w:ind w:firstLine="549"/>
        <w:spacing w:after="0" w:line="272" w:lineRule="auto"/>
        <w:rPr>
          <w:sz w:val="20"/>
          <w:szCs w:val="20"/>
          <w:color w:val="auto"/>
        </w:rPr>
      </w:pPr>
      <w:r>
        <w:rPr>
          <w:rFonts w:ascii="Times New Roman" w:cs="Times New Roman" w:eastAsia="Times New Roman" w:hAnsi="Times New Roman"/>
          <w:sz w:val="15"/>
          <w:szCs w:val="15"/>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46" w:lineRule="exact"/>
        <w:rPr>
          <w:sz w:val="20"/>
          <w:szCs w:val="20"/>
          <w:color w:val="auto"/>
        </w:rPr>
      </w:pPr>
    </w:p>
    <w:p>
      <w:pPr>
        <w:ind w:right="80" w:firstLine="549"/>
        <w:spacing w:after="0" w:line="272" w:lineRule="auto"/>
        <w:rPr>
          <w:sz w:val="20"/>
          <w:szCs w:val="20"/>
          <w:color w:val="auto"/>
        </w:rPr>
      </w:pPr>
      <w:r>
        <w:rPr>
          <w:rFonts w:ascii="Times New Roman" w:cs="Times New Roman" w:eastAsia="Times New Roman" w:hAnsi="Times New Roman"/>
          <w:sz w:val="15"/>
          <w:szCs w:val="15"/>
          <w:color w:val="auto"/>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1.7 </w:t>
      </w:r>
      <w:r>
        <w:rPr>
          <w:rFonts w:ascii="Times New Roman" w:cs="Times New Roman" w:eastAsia="Times New Roman" w:hAnsi="Times New Roman"/>
          <w:sz w:val="15"/>
          <w:szCs w:val="15"/>
          <w:u w:val="single" w:color="auto"/>
          <w:color w:val="auto"/>
        </w:rPr>
        <w:t>Language of Notices</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Any request, demand, authorization, direction, notice, consent, election or waiver required or permitted under this Indenture shall be in the English language, except that, if the Company so elects, any published notice may be in an official language of the country of publication (with a copy in English to be provided to the Trustee).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1.8 </w:t>
      </w:r>
      <w:r>
        <w:rPr>
          <w:rFonts w:ascii="Times New Roman" w:cs="Times New Roman" w:eastAsia="Times New Roman" w:hAnsi="Times New Roman"/>
          <w:sz w:val="15"/>
          <w:szCs w:val="15"/>
          <w:u w:val="single" w:color="auto"/>
          <w:color w:val="auto"/>
        </w:rPr>
        <w:t>Incorporation by Reference of Trust Indenture Act; Trust Indenture Act Controls</w:t>
      </w:r>
    </w:p>
    <w:p>
      <w:pPr>
        <w:spacing w:after="0" w:line="194" w:lineRule="exact"/>
        <w:rPr>
          <w:sz w:val="20"/>
          <w:szCs w:val="20"/>
          <w:color w:val="auto"/>
        </w:rPr>
      </w:pPr>
    </w:p>
    <w:p>
      <w:pPr>
        <w:ind w:right="240" w:firstLine="541"/>
        <w:spacing w:after="0" w:line="290" w:lineRule="auto"/>
        <w:tabs>
          <w:tab w:leader="none" w:pos="757"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provision hereof limits, qualifies or conflicts with the duties that would be imposed by any of Sections 310 to 317 of the Trust Indenture Act through operation of Section 318(c) thereof on any person, such imposed duties shall control. The following Trust Indenture Act terms have the following meanings: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indenture securities</w:t>
      </w:r>
      <w:r>
        <w:rPr>
          <w:rFonts w:ascii="Times New Roman" w:cs="Times New Roman" w:eastAsia="Times New Roman" w:hAnsi="Times New Roman"/>
          <w:sz w:val="15"/>
          <w:szCs w:val="15"/>
          <w:color w:val="auto"/>
        </w:rPr>
        <w:t>” means the Securities;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indenture security holder</w:t>
      </w:r>
      <w:r>
        <w:rPr>
          <w:rFonts w:ascii="Times New Roman" w:cs="Times New Roman" w:eastAsia="Times New Roman" w:hAnsi="Times New Roman"/>
          <w:sz w:val="15"/>
          <w:szCs w:val="15"/>
          <w:color w:val="auto"/>
        </w:rPr>
        <w:t>” means a Holder;</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indenture to be qualified</w:t>
      </w:r>
      <w:r>
        <w:rPr>
          <w:rFonts w:ascii="Times New Roman" w:cs="Times New Roman" w:eastAsia="Times New Roman" w:hAnsi="Times New Roman"/>
          <w:sz w:val="15"/>
          <w:szCs w:val="15"/>
          <w:color w:val="auto"/>
        </w:rPr>
        <w:t>” means this Indenture;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indenture trustee</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institutional trustee</w:t>
      </w:r>
      <w:r>
        <w:rPr>
          <w:rFonts w:ascii="Times New Roman" w:cs="Times New Roman" w:eastAsia="Times New Roman" w:hAnsi="Times New Roman"/>
          <w:sz w:val="15"/>
          <w:szCs w:val="15"/>
          <w:color w:val="auto"/>
        </w:rPr>
        <w:t>” means the Trustee; and</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obligor</w:t>
      </w:r>
      <w:r>
        <w:rPr>
          <w:rFonts w:ascii="Times New Roman" w:cs="Times New Roman" w:eastAsia="Times New Roman" w:hAnsi="Times New Roman"/>
          <w:sz w:val="15"/>
          <w:szCs w:val="15"/>
          <w:color w:val="auto"/>
        </w:rPr>
        <w:t>” on the indenture securities means the Company and any other obligor on the indenture securities.</w:t>
      </w:r>
    </w:p>
    <w:p>
      <w:pPr>
        <w:spacing w:after="0" w:line="194" w:lineRule="exact"/>
        <w:rPr>
          <w:sz w:val="20"/>
          <w:szCs w:val="20"/>
          <w:color w:val="auto"/>
        </w:rPr>
      </w:pPr>
    </w:p>
    <w:p>
      <w:pPr>
        <w:ind w:right="340" w:firstLine="549"/>
        <w:spacing w:after="0" w:line="290" w:lineRule="auto"/>
        <w:rPr>
          <w:sz w:val="20"/>
          <w:szCs w:val="20"/>
          <w:color w:val="auto"/>
        </w:rPr>
      </w:pPr>
      <w:r>
        <w:rPr>
          <w:rFonts w:ascii="Times New Roman" w:cs="Times New Roman" w:eastAsia="Times New Roman" w:hAnsi="Times New Roman"/>
          <w:sz w:val="15"/>
          <w:szCs w:val="15"/>
          <w:color w:val="auto"/>
        </w:rPr>
        <w:t>All other Trust Indenture Act terms used in this Indenture that are defined by the Trust Indenture Act, defined in the Trust Indenture Act by reference to another statute or defined by SEC Rule have the meanings assigned to them by such definitions.</w:t>
      </w:r>
    </w:p>
    <w:p>
      <w:pPr>
        <w:spacing w:after="0" w:line="133" w:lineRule="exact"/>
        <w:rPr>
          <w:sz w:val="20"/>
          <w:szCs w:val="20"/>
          <w:color w:val="auto"/>
        </w:rPr>
      </w:pPr>
    </w:p>
    <w:p>
      <w:pPr>
        <w:ind w:right="380" w:firstLine="541"/>
        <w:spacing w:after="0" w:line="290" w:lineRule="auto"/>
        <w:tabs>
          <w:tab w:leader="none" w:pos="766"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provision of this Indenture limits, qualifies or conflicts with another provision which is required to be included in this Indenture by the Trust Indenture Act, the provision required by the Trust Indenture Act shall control.</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20" w:name="page121"/>
    <w:bookmarkEnd w:id="120"/>
    <w:p>
      <w:pPr>
        <w:ind w:left="540"/>
        <w:spacing w:after="0"/>
        <w:rPr>
          <w:sz w:val="20"/>
          <w:szCs w:val="20"/>
          <w:color w:val="auto"/>
        </w:rPr>
      </w:pPr>
      <w:r>
        <w:rPr>
          <w:rFonts w:ascii="Times New Roman" w:cs="Times New Roman" w:eastAsia="Times New Roman" w:hAnsi="Times New Roman"/>
          <w:sz w:val="15"/>
          <w:szCs w:val="15"/>
          <w:color w:val="auto"/>
        </w:rPr>
        <w:t xml:space="preserve">Section 1.9 </w:t>
      </w:r>
      <w:r>
        <w:rPr>
          <w:rFonts w:ascii="Times New Roman" w:cs="Times New Roman" w:eastAsia="Times New Roman" w:hAnsi="Times New Roman"/>
          <w:sz w:val="15"/>
          <w:szCs w:val="15"/>
          <w:u w:val="single" w:color="auto"/>
          <w:color w:val="auto"/>
        </w:rPr>
        <w:t>Effect of Headings and Table of Contents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Article and Section headings herein and the Table of Contents are for convenience only and shall not affect the construction hereof.</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1.10 </w:t>
      </w:r>
      <w:r>
        <w:rPr>
          <w:rFonts w:ascii="Times New Roman" w:cs="Times New Roman" w:eastAsia="Times New Roman" w:hAnsi="Times New Roman"/>
          <w:sz w:val="15"/>
          <w:szCs w:val="15"/>
          <w:u w:val="single" w:color="auto"/>
          <w:color w:val="auto"/>
        </w:rPr>
        <w:t>Successors and Assigns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All covenants and agreements in this Indenture by the Company shall bind its successors and assigns, whether so expressed or not.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1.11 </w:t>
      </w:r>
      <w:r>
        <w:rPr>
          <w:rFonts w:ascii="Times New Roman" w:cs="Times New Roman" w:eastAsia="Times New Roman" w:hAnsi="Times New Roman"/>
          <w:sz w:val="15"/>
          <w:szCs w:val="15"/>
          <w:u w:val="single" w:color="auto"/>
          <w:color w:val="auto"/>
        </w:rPr>
        <w:t>Separability Clause</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In case any provision in this Indenture or any Security shall be invalid, illegal or unenforceable, the validity, legality and enforceability of the remaining provisions shall not in any way be affected or impaired thereby.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1.12 </w:t>
      </w:r>
      <w:r>
        <w:rPr>
          <w:rFonts w:ascii="Times New Roman" w:cs="Times New Roman" w:eastAsia="Times New Roman" w:hAnsi="Times New Roman"/>
          <w:sz w:val="15"/>
          <w:szCs w:val="15"/>
          <w:u w:val="single" w:color="auto"/>
          <w:color w:val="auto"/>
        </w:rPr>
        <w:t>Benefits of Indenture</w:t>
      </w:r>
    </w:p>
    <w:p>
      <w:pPr>
        <w:spacing w:after="0" w:line="194" w:lineRule="exact"/>
        <w:rPr>
          <w:sz w:val="20"/>
          <w:szCs w:val="20"/>
          <w:color w:val="auto"/>
        </w:rPr>
      </w:pPr>
    </w:p>
    <w:p>
      <w:pPr>
        <w:ind w:right="760" w:firstLine="549"/>
        <w:spacing w:after="0" w:line="290" w:lineRule="auto"/>
        <w:rPr>
          <w:sz w:val="20"/>
          <w:szCs w:val="20"/>
          <w:color w:val="auto"/>
        </w:rPr>
      </w:pPr>
      <w:r>
        <w:rPr>
          <w:rFonts w:ascii="Times New Roman" w:cs="Times New Roman" w:eastAsia="Times New Roman" w:hAnsi="Times New Roman"/>
          <w:sz w:val="15"/>
          <w:szCs w:val="15"/>
          <w:color w:val="auto"/>
        </w:rPr>
        <w:t>Nothing in this Indenture or any Security, express or implied, shall give to any Person, other than the parties hereto, any Security Registrar, any Paying Agent, any Authentication Agent and their successors hereunder and the Holders of Securities, any benefit or any legal or equitable right, remedy or claim under this Indenture.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1.13 </w:t>
      </w:r>
      <w:r>
        <w:rPr>
          <w:rFonts w:ascii="Times New Roman" w:cs="Times New Roman" w:eastAsia="Times New Roman" w:hAnsi="Times New Roman"/>
          <w:sz w:val="15"/>
          <w:szCs w:val="15"/>
          <w:u w:val="single" w:color="auto"/>
          <w:color w:val="auto"/>
        </w:rPr>
        <w:t>Governing Law; Waiver of Trial by Jury</w:t>
      </w:r>
    </w:p>
    <w:p>
      <w:pPr>
        <w:spacing w:after="0" w:line="194" w:lineRule="exact"/>
        <w:rPr>
          <w:sz w:val="20"/>
          <w:szCs w:val="20"/>
          <w:color w:val="auto"/>
        </w:rPr>
      </w:pPr>
    </w:p>
    <w:p>
      <w:pPr>
        <w:ind w:right="220" w:firstLine="549"/>
        <w:spacing w:after="0" w:line="272" w:lineRule="auto"/>
        <w:rPr>
          <w:sz w:val="20"/>
          <w:szCs w:val="20"/>
          <w:color w:val="auto"/>
        </w:rPr>
      </w:pPr>
      <w:r>
        <w:rPr>
          <w:rFonts w:ascii="Times New Roman" w:cs="Times New Roman" w:eastAsia="Times New Roman" w:hAnsi="Times New Roman"/>
          <w:sz w:val="15"/>
          <w:szCs w:val="15"/>
          <w:color w:val="auto"/>
        </w:rPr>
        <w:t>This Indenture and the Securities shall be governed by and construed in accordance with the laws of the State of New York applicable to agreements made or instruments entered into and, in each case, performed in said state. Each of the Company and the Trustee hereby irrevocably waives, to the fullest extent permitted by applicable law, any and all right to trial by jury in any legal proceeding arising out of or relating to this Indenture, the Securities or the transactions contemplated hereby.</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1.14 </w:t>
      </w:r>
      <w:r>
        <w:rPr>
          <w:rFonts w:ascii="Times New Roman" w:cs="Times New Roman" w:eastAsia="Times New Roman" w:hAnsi="Times New Roman"/>
          <w:sz w:val="15"/>
          <w:szCs w:val="15"/>
          <w:u w:val="single" w:color="auto"/>
          <w:color w:val="auto"/>
        </w:rPr>
        <w:t>Legal Holidays</w:t>
      </w:r>
    </w:p>
    <w:p>
      <w:pPr>
        <w:spacing w:after="0" w:line="194" w:lineRule="exact"/>
        <w:rPr>
          <w:sz w:val="20"/>
          <w:szCs w:val="20"/>
          <w:color w:val="auto"/>
        </w:rPr>
      </w:pPr>
    </w:p>
    <w:p>
      <w:pPr>
        <w:ind w:right="40" w:firstLine="549"/>
        <w:spacing w:after="0" w:line="259" w:lineRule="auto"/>
        <w:rPr>
          <w:sz w:val="20"/>
          <w:szCs w:val="20"/>
          <w:color w:val="auto"/>
        </w:rPr>
      </w:pPr>
      <w:r>
        <w:rPr>
          <w:rFonts w:ascii="Times New Roman" w:cs="Times New Roman" w:eastAsia="Times New Roman" w:hAnsi="Times New Roman"/>
          <w:sz w:val="15"/>
          <w:szCs w:val="15"/>
          <w:color w:val="auto"/>
        </w:rPr>
        <w:t>Unless otherwise specified in or pursuant to this Indenture or any Securities, in any case where any Interest Payment Date, Stated Maturity or Maturity of any Security, or the last date on which a Holder has the right to convert or exchange Securities of a series that are convertible or exchangeable shall not be a Business Day (a “</w:t>
      </w:r>
      <w:r>
        <w:rPr>
          <w:rFonts w:ascii="Times New Roman" w:cs="Times New Roman" w:eastAsia="Times New Roman" w:hAnsi="Times New Roman"/>
          <w:sz w:val="15"/>
          <w:szCs w:val="15"/>
          <w:u w:val="single" w:color="auto"/>
          <w:color w:val="auto"/>
        </w:rPr>
        <w:t>Legal Holiday</w:t>
      </w:r>
      <w:r>
        <w:rPr>
          <w:rFonts w:ascii="Times New Roman" w:cs="Times New Roman" w:eastAsia="Times New Roman" w:hAnsi="Times New Roman"/>
          <w:sz w:val="15"/>
          <w:szCs w:val="15"/>
          <w:color w:val="auto"/>
        </w:rPr>
        <w:t>”) at any Place of Payment, then (notwithstanding any other provision of this Indenture or any Security other than a provision in any Security that specifically states that such provision shall apply in lieu hereof) payment need not be made at such Place of Payment on such date, and such Securities need not be converted or exchanged on such date but such payment may be made, and such Securities may be converted or exchanged, on the next succeeding day that is a Business Day at such Place of Payment with the same force and effect as if made on the Interest Payment Date or at the Stated Maturity or Maturity or on such last day for conversion or exchange, and no interest shall accrue on the amount payable on such date or at such time for the period from and after such Interest Payment Date, Stated Maturity, Maturity or last day for conversion or exchange, as the case may be, to the next succeeding Business Day. If this Indenture provides for a time period that ends or requires performance of any non-payment obligation by a day that is not a Business Day, then such time period shall instead be deemed to end on, and such obligation shall instead be performed by, the next succeeding Business Day.</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21" w:name="page122"/>
    <w:bookmarkEnd w:id="121"/>
    <w:p>
      <w:pPr>
        <w:ind w:left="540"/>
        <w:spacing w:after="0"/>
        <w:rPr>
          <w:sz w:val="20"/>
          <w:szCs w:val="20"/>
          <w:color w:val="auto"/>
        </w:rPr>
      </w:pPr>
      <w:r>
        <w:rPr>
          <w:rFonts w:ascii="Times New Roman" w:cs="Times New Roman" w:eastAsia="Times New Roman" w:hAnsi="Times New Roman"/>
          <w:sz w:val="15"/>
          <w:szCs w:val="15"/>
          <w:color w:val="auto"/>
        </w:rPr>
        <w:t xml:space="preserve">Section 1.15 </w:t>
      </w:r>
      <w:r>
        <w:rPr>
          <w:rFonts w:ascii="Times New Roman" w:cs="Times New Roman" w:eastAsia="Times New Roman" w:hAnsi="Times New Roman"/>
          <w:sz w:val="15"/>
          <w:szCs w:val="15"/>
          <w:u w:val="single" w:color="auto"/>
          <w:color w:val="auto"/>
        </w:rPr>
        <w:t>Counterparts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Indenture may be executed in several counterparts, each of which shall be an original and all of which shall constitute but one and the same instrument.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1.16 </w:t>
      </w:r>
      <w:r>
        <w:rPr>
          <w:rFonts w:ascii="Times New Roman" w:cs="Times New Roman" w:eastAsia="Times New Roman" w:hAnsi="Times New Roman"/>
          <w:sz w:val="15"/>
          <w:szCs w:val="15"/>
          <w:u w:val="single" w:color="auto"/>
          <w:color w:val="auto"/>
        </w:rPr>
        <w:t>Judgment Currency</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agrees, to the fullest extent that it may effectively do so under applicable law, that (a) if for the purpose of obtaining judgment in any court it is necessary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convert the sum due in respect of the principal of, or premium or interest, if any, or Additional Amounts on the Securities of any series (the “</w:t>
      </w:r>
      <w:r>
        <w:rPr>
          <w:rFonts w:ascii="Times New Roman" w:cs="Times New Roman" w:eastAsia="Times New Roman" w:hAnsi="Times New Roman"/>
          <w:sz w:val="15"/>
          <w:szCs w:val="15"/>
          <w:u w:val="single" w:color="auto"/>
          <w:color w:val="auto"/>
        </w:rPr>
        <w:t>Required Currency</w:t>
      </w:r>
      <w:r>
        <w:rPr>
          <w:rFonts w:ascii="Times New Roman" w:cs="Times New Roman" w:eastAsia="Times New Roman" w:hAnsi="Times New Roman"/>
          <w:sz w:val="15"/>
          <w:szCs w:val="15"/>
          <w:color w:val="auto"/>
        </w:rPr>
        <w:t>”) into a currency in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which a judgment will be rendered (the “</w:t>
      </w:r>
      <w:r>
        <w:rPr>
          <w:rFonts w:ascii="Times New Roman" w:cs="Times New Roman" w:eastAsia="Times New Roman" w:hAnsi="Times New Roman"/>
          <w:sz w:val="15"/>
          <w:szCs w:val="15"/>
          <w:u w:val="single" w:color="auto"/>
          <w:color w:val="auto"/>
        </w:rPr>
        <w:t>Judgment Currency</w:t>
      </w:r>
      <w:r>
        <w:rPr>
          <w:rFonts w:ascii="Times New Roman" w:cs="Times New Roman" w:eastAsia="Times New Roman" w:hAnsi="Times New Roman"/>
          <w:sz w:val="15"/>
          <w:szCs w:val="15"/>
          <w:color w:val="auto"/>
        </w:rPr>
        <w:t>”), the rate of exchange used shall be the rate at which in accordance with normal banking procedures the Trustee could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purchase in The City of New York the requisite amount of the Required Currency with the Judgment Currency on the New York Banking Day preceding the day on which a final</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unappealable judgment is given and (b) its obligations under this Indenture to make payments in the Required Currency (i) shall not be discharged or satisfied by any tender, or any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recovery pursuant to any judgment (whether or not entered in accordance with clause (a)), in any currency other than the Required Currency, except to the extent that such tender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recovery shall result in the actual receipt, by the payee, of the full amount of the Required Currency expressed to be payable in respect of such payments, (ii) shall be enforceable as 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alternative or additional cause of action for the purpose of recovering in the Required Currency the amount, if any, by which such actual receipt shall fall short of the full amount of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Required Currency so expressed to be payable and (iii) shall not be affected by judgment being obtained for any other sum due under this Indenture. For purposes of the foregoing,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New York Banking Day</w:t>
      </w:r>
      <w:r>
        <w:rPr>
          <w:rFonts w:ascii="Times New Roman" w:cs="Times New Roman" w:eastAsia="Times New Roman" w:hAnsi="Times New Roman"/>
          <w:sz w:val="15"/>
          <w:szCs w:val="15"/>
          <w:color w:val="auto"/>
        </w:rPr>
        <w:t>” means any day except a Saturday, Sunday or a Legal Holiday in The City of New York or a day on which banking institutions in The City of New York are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authorized or obligated by law, regulation or executive order to be closed.</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1.17 </w:t>
      </w:r>
      <w:r>
        <w:rPr>
          <w:rFonts w:ascii="Times New Roman" w:cs="Times New Roman" w:eastAsia="Times New Roman" w:hAnsi="Times New Roman"/>
          <w:sz w:val="15"/>
          <w:szCs w:val="15"/>
          <w:u w:val="single" w:color="auto"/>
          <w:color w:val="auto"/>
        </w:rPr>
        <w:t>Limitation on Individual Liability</w:t>
      </w:r>
    </w:p>
    <w:p>
      <w:pPr>
        <w:spacing w:after="0" w:line="194" w:lineRule="exact"/>
        <w:rPr>
          <w:sz w:val="20"/>
          <w:szCs w:val="20"/>
          <w:color w:val="auto"/>
        </w:rPr>
      </w:pPr>
    </w:p>
    <w:p>
      <w:pPr>
        <w:ind w:firstLine="549"/>
        <w:spacing w:after="0" w:line="259" w:lineRule="auto"/>
        <w:rPr>
          <w:sz w:val="20"/>
          <w:szCs w:val="20"/>
          <w:color w:val="auto"/>
        </w:rPr>
      </w:pPr>
      <w:r>
        <w:rPr>
          <w:rFonts w:ascii="Times New Roman" w:cs="Times New Roman" w:eastAsia="Times New Roman" w:hAnsi="Times New Roman"/>
          <w:sz w:val="15"/>
          <w:szCs w:val="15"/>
          <w:color w:val="auto"/>
        </w:rPr>
        <w:t>No recourse under or upon any obligation, covenant or agreement contained in this Indenture or in any Security, or for any claim based thereon or otherwise in respect thereof, shall be had against any incorporator, stockholder, officer or director, as such, past, present or future, of the Company or of any successor, either directly or through the Company or any successor,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any successor, or any of them, because of the creation of the indebtedness hereby authorized, or under or by reason of the obligations, covenants or agreements contained in this Indenture or in any Security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Security or implied therefrom, are hereby expressly waived and released as a condition of, and as a consideration for, the execution of this Indenture and the issuance of such Security.</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22" w:name="page123"/>
    <w:bookmarkEnd w:id="122"/>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ARTICLE 2</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SECURITIES FORMS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2.1 </w:t>
      </w:r>
      <w:r>
        <w:rPr>
          <w:rFonts w:ascii="Times New Roman" w:cs="Times New Roman" w:eastAsia="Times New Roman" w:hAnsi="Times New Roman"/>
          <w:sz w:val="15"/>
          <w:szCs w:val="15"/>
          <w:u w:val="single" w:color="auto"/>
          <w:color w:val="auto"/>
        </w:rPr>
        <w:t>Forms Generally</w:t>
      </w:r>
    </w:p>
    <w:p>
      <w:pPr>
        <w:spacing w:after="0" w:line="194" w:lineRule="exact"/>
        <w:rPr>
          <w:sz w:val="20"/>
          <w:szCs w:val="20"/>
          <w:color w:val="auto"/>
        </w:rPr>
      </w:pPr>
    </w:p>
    <w:p>
      <w:pPr>
        <w:ind w:firstLine="549"/>
        <w:spacing w:after="0" w:line="265" w:lineRule="auto"/>
        <w:rPr>
          <w:sz w:val="20"/>
          <w:szCs w:val="20"/>
          <w:color w:val="auto"/>
        </w:rPr>
      </w:pPr>
      <w:r>
        <w:rPr>
          <w:rFonts w:ascii="Times New Roman" w:cs="Times New Roman" w:eastAsia="Times New Roman" w:hAnsi="Times New Roman"/>
          <w:sz w:val="15"/>
          <w:szCs w:val="15"/>
          <w:color w:val="auto"/>
        </w:rPr>
        <w:t>Each Registered Security and temporary or permanent Global Security or Definitive Security issued pursuant to this Indenture shall be in the form established by or pursuant to a Board Resolution and set forth in an Officer’s Certificate, or established in one or more indentures supplemental hereto, shall have such appropriate insertions, omissions, substitutions and other variations as are required or permitted by or pursuant to this Indenture or any indenture supplemental hereto and may have such letters, numbers or other marks of identification and such legends or endorsements placed thereon as may, consistently herewith, be determined by the Officers executing such Security as evidenced by their execution of such Security.</w:t>
      </w:r>
    </w:p>
    <w:p>
      <w:pPr>
        <w:spacing w:after="0" w:line="337" w:lineRule="exact"/>
        <w:rPr>
          <w:sz w:val="20"/>
          <w:szCs w:val="20"/>
          <w:color w:val="auto"/>
        </w:rPr>
      </w:pPr>
    </w:p>
    <w:p>
      <w:pPr>
        <w:ind w:right="60" w:firstLine="549"/>
        <w:spacing w:after="0" w:line="290" w:lineRule="auto"/>
        <w:rPr>
          <w:sz w:val="20"/>
          <w:szCs w:val="20"/>
          <w:color w:val="auto"/>
        </w:rPr>
      </w:pPr>
      <w:r>
        <w:rPr>
          <w:rFonts w:ascii="Times New Roman" w:cs="Times New Roman" w:eastAsia="Times New Roman" w:hAnsi="Times New Roman"/>
          <w:sz w:val="15"/>
          <w:szCs w:val="15"/>
          <w:color w:val="auto"/>
        </w:rPr>
        <w:t>Unless otherwise provided in or pursuant to this Indenture or any Securities, the Securities shall be issuable in registered form without coupons and shall not be issuable upon the exercise of warrants.</w:t>
      </w:r>
    </w:p>
    <w:p>
      <w:pPr>
        <w:spacing w:after="0" w:line="133" w:lineRule="exact"/>
        <w:rPr>
          <w:sz w:val="20"/>
          <w:szCs w:val="20"/>
          <w:color w:val="auto"/>
        </w:rPr>
      </w:pPr>
    </w:p>
    <w:p>
      <w:pPr>
        <w:ind w:right="40" w:firstLine="549"/>
        <w:spacing w:after="0" w:line="290" w:lineRule="auto"/>
        <w:rPr>
          <w:sz w:val="20"/>
          <w:szCs w:val="20"/>
          <w:color w:val="auto"/>
        </w:rPr>
      </w:pPr>
      <w:r>
        <w:rPr>
          <w:rFonts w:ascii="Times New Roman" w:cs="Times New Roman" w:eastAsia="Times New Roman" w:hAnsi="Times New Roman"/>
          <w:sz w:val="15"/>
          <w:szCs w:val="15"/>
          <w:color w:val="auto"/>
        </w:rPr>
        <w:t>Definitive Securities shall be printed, lithographed or engraved or produced by any combination of these methods on a steel engraved border or steel engraved borders or may be produced in any other manner, all as determined by the Officers of the Company executing such Securities, as evidenced by their execution of such Securities.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2.2 </w:t>
      </w:r>
      <w:r>
        <w:rPr>
          <w:rFonts w:ascii="Times New Roman" w:cs="Times New Roman" w:eastAsia="Times New Roman" w:hAnsi="Times New Roman"/>
          <w:sz w:val="15"/>
          <w:szCs w:val="15"/>
          <w:u w:val="single" w:color="auto"/>
          <w:color w:val="auto"/>
        </w:rPr>
        <w:t>Form of Trustee’s Certificate of Authentication</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Subject to Section 6.12, the Trustee’s certificate of authentication shall be in substantially the following form:</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is one of the Securities of the series designated therein referred to in the within-mentioned Indenture.</w:t>
      </w:r>
    </w:p>
    <w:p>
      <w:pPr>
        <w:spacing w:after="0" w:line="194"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5"/>
          <w:szCs w:val="15"/>
          <w:color w:val="auto"/>
        </w:rPr>
        <w: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8890</wp:posOffset>
            </wp:positionV>
            <wp:extent cx="2144395"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2144395" cy="14605"/>
                    </a:xfrm>
                    <a:prstGeom prst="rect">
                      <a:avLst/>
                    </a:prstGeom>
                    <a:noFill/>
                  </pic:spPr>
                </pic:pic>
              </a:graphicData>
            </a:graphic>
          </wp:anchor>
        </w:drawing>
      </w:r>
    </w:p>
    <w:p>
      <w:pPr>
        <w:spacing w:after="0" w:line="20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15875</wp:posOffset>
            </wp:positionV>
            <wp:extent cx="2573655"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2573655" cy="14605"/>
                    </a:xfrm>
                    <a:prstGeom prst="rect">
                      <a:avLst/>
                    </a:prstGeom>
                    <a:noFill/>
                  </pic:spPr>
                </pic:pic>
              </a:graphicData>
            </a:graphic>
          </wp:anchor>
        </w:drawing>
      </w:r>
    </w:p>
    <w:p>
      <w:pPr>
        <w:spacing w:after="0" w:line="1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color w:val="auto"/>
        </w:rPr>
        <w:t>Authorized Signatory</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15875</wp:posOffset>
            </wp:positionV>
            <wp:extent cx="2573655"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2573655" cy="14605"/>
                    </a:xfrm>
                    <a:prstGeom prst="rect">
                      <a:avLst/>
                    </a:prstGeom>
                    <a:noFill/>
                  </pic:spPr>
                </pic:pic>
              </a:graphicData>
            </a:graphic>
          </wp:anchor>
        </w:drawing>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5" w:right="359" w:bottom="1440" w:gutter="0" w:footer="0" w:header="0"/>
        </w:sectPr>
      </w:pPr>
    </w:p>
    <w:bookmarkStart w:id="123" w:name="page124"/>
    <w:bookmarkEnd w:id="123"/>
    <w:p>
      <w:pPr>
        <w:ind w:left="540"/>
        <w:spacing w:after="0"/>
        <w:rPr>
          <w:sz w:val="20"/>
          <w:szCs w:val="20"/>
          <w:color w:val="auto"/>
        </w:rPr>
      </w:pPr>
      <w:r>
        <w:rPr>
          <w:rFonts w:ascii="Times New Roman" w:cs="Times New Roman" w:eastAsia="Times New Roman" w:hAnsi="Times New Roman"/>
          <w:sz w:val="15"/>
          <w:szCs w:val="15"/>
          <w:color w:val="auto"/>
        </w:rPr>
        <w:t xml:space="preserve">Section 2.3 </w:t>
      </w:r>
      <w:r>
        <w:rPr>
          <w:rFonts w:ascii="Times New Roman" w:cs="Times New Roman" w:eastAsia="Times New Roman" w:hAnsi="Times New Roman"/>
          <w:sz w:val="15"/>
          <w:szCs w:val="15"/>
          <w:u w:val="single" w:color="auto"/>
          <w:color w:val="auto"/>
        </w:rPr>
        <w:t>Securities in Global Form</w:t>
      </w:r>
    </w:p>
    <w:p>
      <w:pPr>
        <w:spacing w:after="0" w:line="194" w:lineRule="exact"/>
        <w:rPr>
          <w:sz w:val="20"/>
          <w:szCs w:val="20"/>
          <w:color w:val="auto"/>
        </w:rPr>
      </w:pPr>
    </w:p>
    <w:p>
      <w:pPr>
        <w:ind w:firstLine="549"/>
        <w:spacing w:after="0" w:line="258" w:lineRule="auto"/>
        <w:rPr>
          <w:sz w:val="20"/>
          <w:szCs w:val="20"/>
          <w:color w:val="auto"/>
        </w:rPr>
      </w:pPr>
      <w:r>
        <w:rPr>
          <w:rFonts w:ascii="Times New Roman" w:cs="Times New Roman" w:eastAsia="Times New Roman" w:hAnsi="Times New Roman"/>
          <w:sz w:val="15"/>
          <w:szCs w:val="15"/>
          <w:color w:val="auto"/>
        </w:rPr>
        <w:t>Unless otherwise provided in or pursuant to this Indenture or any Securities, the Securities shall be issuable in permanent global form. If Securities of a series shall be issuable in global form, any such Security may provide that it or any number of such Securities shall represent the aggregate amount of all Outstanding Securities of such series (or such lesser amount as is permitted by the terms thereof) from time to time endorsed thereon and may also provide that the aggregate amount of Outstanding Securities represented thereby may from time to time be increased or reduced to reflect exchanges, redemptions or transfer of beneficial interests from one Global Security to another Global Security. Any endorsement of any Global Security to reflect the amount, or any increase or decrease in the amount, or changes in the rights of Holders, of Outstanding Securities represented thereby shall be made in such manner and by such Person or Persons as shall be specified therein or in the Company Order to be delivered pursuant to Section 3.3 or Section 3.4 with respect thereto. Subject to the provisions of Section 3.3 and, if applicable, Section 3.4, the Trustee shall deliver and redeliver any Security in permanent global form in the manner and upon instructions given by the Person or Persons specified therein or in the applicable Company Order. If a Company Order pursuant to Section 3.3 or Section 3.4 has been, or simultaneously is, delivered, any instructions by the Company with respect to a Global Security shall be in writing but need not be accompanied by or contained in an Officer’s Certificate and need not be accompanied by an Opinion of Counsel.</w:t>
      </w:r>
    </w:p>
    <w:p>
      <w:pPr>
        <w:spacing w:after="0" w:line="161" w:lineRule="exact"/>
        <w:rPr>
          <w:sz w:val="20"/>
          <w:szCs w:val="20"/>
          <w:color w:val="auto"/>
        </w:rPr>
      </w:pPr>
    </w:p>
    <w:p>
      <w:pPr>
        <w:ind w:right="60" w:firstLine="549"/>
        <w:spacing w:after="0" w:line="290" w:lineRule="auto"/>
        <w:rPr>
          <w:sz w:val="20"/>
          <w:szCs w:val="20"/>
          <w:color w:val="auto"/>
        </w:rPr>
      </w:pPr>
      <w:r>
        <w:rPr>
          <w:rFonts w:ascii="Times New Roman" w:cs="Times New Roman" w:eastAsia="Times New Roman" w:hAnsi="Times New Roman"/>
          <w:sz w:val="15"/>
          <w:szCs w:val="15"/>
          <w:color w:val="auto"/>
        </w:rPr>
        <w:t>Notwithstanding the provisions of Section 3.7, unless otherwise specified in or pursuant to this Indenture or any Securities, payment of principal of, any premium and interest on, and any Additional Amounts in respect of, any Security in temporary or permanent global form shall be made to the Person or Persons specified therein.</w:t>
      </w:r>
    </w:p>
    <w:p>
      <w:pPr>
        <w:spacing w:after="0" w:line="133" w:lineRule="exact"/>
        <w:rPr>
          <w:sz w:val="20"/>
          <w:szCs w:val="20"/>
          <w:color w:val="auto"/>
        </w:rPr>
      </w:pPr>
    </w:p>
    <w:p>
      <w:pPr>
        <w:ind w:right="20" w:firstLine="549"/>
        <w:spacing w:after="0" w:line="272" w:lineRule="auto"/>
        <w:rPr>
          <w:sz w:val="20"/>
          <w:szCs w:val="20"/>
          <w:color w:val="auto"/>
        </w:rPr>
      </w:pPr>
      <w:r>
        <w:rPr>
          <w:rFonts w:ascii="Times New Roman" w:cs="Times New Roman" w:eastAsia="Times New Roman" w:hAnsi="Times New Roman"/>
          <w:sz w:val="15"/>
          <w:szCs w:val="15"/>
          <w:color w:val="auto"/>
        </w:rPr>
        <w:t>Notwithstanding the provisions of Section 3.8 and except as provided in the preceding paragraph, the Company, the Trustee and any agent of the Company or the Trustee shall treat as the Holder of such principal amount of Outstanding Securities as is represented by a Global Security in the case of a Global Security in registered form, the Holder of such Global Security in registered form.</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Each Global Security shall bear a legend in substantially the following form (unless otherwise specified by the Depositary):</w:t>
      </w:r>
    </w:p>
    <w:p>
      <w:pPr>
        <w:spacing w:after="0" w:line="194"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15"/>
          <w:szCs w:val="15"/>
          <w:color w:val="auto"/>
        </w:rPr>
        <w:t>“THIS DEBT SECURITY IS A GLOBAL SECURITY WITHIN THE MEANING OF THE INDENTURE HEREINAFTER REFERRED TO AND IS REGISTERED IN THE NAME OF A DEPOSITARY OR A NOMINEE THEREOF. THIS DEBT SECURITY MAY NOT BE TRANSFERRED TO, OR REGISTERED OR EXCHANGED FOR SECURITIES REGISTERED IN THE NAME OF, ANY PERSON OTHER THAN THE DEPOSITARY OR A NOMINEE THEREOF AND NO SUCH TRANSFER MAY BE REGISTERED, EXCEPT IN THE LIMITED CIRCUMSTANCES DESCRIBED IN THE INDENTURE. EVERY DEBT SECURITY AUTHENTICATED AND DELIVERED UPON REGISTRATION OF TRANSFER OF, OR IN EXCHANGE FOR OR IN LIEU OF, THIS DEBT SECURITY SHALL BE A GLOBAL SECURITY SUBJECT TO THE FOREGOING, EXCEPT IN SUCH LIMITED CIRCUMSTANCES.”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24" w:name="page125"/>
    <w:bookmarkEnd w:id="124"/>
    <w:p>
      <w:pPr>
        <w:jc w:val="center"/>
        <w:ind w:right="-27"/>
        <w:spacing w:after="0"/>
        <w:rPr>
          <w:sz w:val="20"/>
          <w:szCs w:val="20"/>
          <w:color w:val="auto"/>
        </w:rPr>
      </w:pPr>
      <w:r>
        <w:rPr>
          <w:rFonts w:ascii="Times New Roman" w:cs="Times New Roman" w:eastAsia="Times New Roman" w:hAnsi="Times New Roman"/>
          <w:sz w:val="15"/>
          <w:szCs w:val="15"/>
          <w:b w:val="1"/>
          <w:bCs w:val="1"/>
          <w:color w:val="auto"/>
        </w:rPr>
        <w:t>ARTICLE 3</w:t>
      </w:r>
    </w:p>
    <w:p>
      <w:pPr>
        <w:spacing w:after="0" w:line="194"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b w:val="1"/>
          <w:bCs w:val="1"/>
          <w:color w:val="auto"/>
        </w:rPr>
        <w:t>THE SECURITIES</w:t>
      </w:r>
    </w:p>
    <w:p>
      <w:pPr>
        <w:spacing w:after="0" w:line="19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 xml:space="preserve">Section 3.1 </w:t>
      </w:r>
      <w:r>
        <w:rPr>
          <w:rFonts w:ascii="Times New Roman" w:cs="Times New Roman" w:eastAsia="Times New Roman" w:hAnsi="Times New Roman"/>
          <w:sz w:val="15"/>
          <w:szCs w:val="15"/>
          <w:u w:val="single" w:color="auto"/>
          <w:color w:val="auto"/>
        </w:rPr>
        <w:t>Amount Unlimited; Issuable in Series</w:t>
      </w:r>
    </w:p>
    <w:p>
      <w:pPr>
        <w:spacing w:after="0" w:line="194" w:lineRule="exact"/>
        <w:rPr>
          <w:sz w:val="20"/>
          <w:szCs w:val="20"/>
          <w:color w:val="auto"/>
        </w:rPr>
      </w:pPr>
    </w:p>
    <w:p>
      <w:pPr>
        <w:jc w:val="both"/>
        <w:ind w:left="8" w:right="240" w:firstLine="549"/>
        <w:spacing w:after="0" w:line="272" w:lineRule="auto"/>
        <w:rPr>
          <w:sz w:val="20"/>
          <w:szCs w:val="20"/>
          <w:color w:val="auto"/>
        </w:rPr>
      </w:pPr>
      <w:r>
        <w:rPr>
          <w:rFonts w:ascii="Times New Roman" w:cs="Times New Roman" w:eastAsia="Times New Roman" w:hAnsi="Times New Roman"/>
          <w:sz w:val="15"/>
          <w:szCs w:val="15"/>
          <w:color w:val="auto"/>
        </w:rPr>
        <w:t>The aggregate principal amount of Securities that may be authenticated and delivered under this Indenture is unlimited. The Securities may be issued in one or more series. With respect to any Securities to be authenticated and delivered hereunder, there shall be established in or pursuant to a Board Resolution and set forth in an Officer’s Certificate, or established in one or more indentures supplemental hereto,</w:t>
      </w:r>
    </w:p>
    <w:p>
      <w:pPr>
        <w:spacing w:after="0" w:line="146" w:lineRule="exact"/>
        <w:rPr>
          <w:sz w:val="20"/>
          <w:szCs w:val="20"/>
          <w:color w:val="auto"/>
        </w:rPr>
      </w:pPr>
    </w:p>
    <w:p>
      <w:pPr>
        <w:ind w:left="768" w:hanging="219"/>
        <w:spacing w:after="0"/>
        <w:tabs>
          <w:tab w:leader="none" w:pos="768"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title of such Securities and the series, including CUSIP numbers in which such Securities shall be included;</w:t>
      </w:r>
    </w:p>
    <w:p>
      <w:pPr>
        <w:spacing w:after="0" w:line="193" w:lineRule="exact"/>
        <w:rPr>
          <w:rFonts w:ascii="Times New Roman" w:cs="Times New Roman" w:eastAsia="Times New Roman" w:hAnsi="Times New Roman"/>
          <w:sz w:val="15"/>
          <w:szCs w:val="15"/>
          <w:color w:val="auto"/>
        </w:rPr>
      </w:pPr>
    </w:p>
    <w:p>
      <w:pPr>
        <w:ind w:left="8" w:firstLine="541"/>
        <w:spacing w:after="0" w:line="263" w:lineRule="auto"/>
        <w:tabs>
          <w:tab w:leader="none" w:pos="774"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limit upon the aggregate principal amount of the Securities of such series that may be authenticated and delivered under this Indenture (except for Securities authenticated and delivered upon registration of transfer of, or in exchange for, or in lieu of, other Securities of such series pursuant to Section 3.4, Section 3.5, Section 3.6, Section 9.6 or Section 11.7, upon repayment in part of any Registered Security of such series pursuant to Article 13 or upon surrender in part of any Registered Security for conversion or exchange into Common Stock or other securities, cash or other property pursuant to its terms, or pursuant to the terms of such Securities and except for any Securities, which, pursuant to Section 3.3, are deemed never to have been authenticated and delivered hereunder);</w:t>
      </w:r>
    </w:p>
    <w:p>
      <w:pPr>
        <w:spacing w:after="0" w:line="153" w:lineRule="exact"/>
        <w:rPr>
          <w:rFonts w:ascii="Times New Roman" w:cs="Times New Roman" w:eastAsia="Times New Roman" w:hAnsi="Times New Roman"/>
          <w:sz w:val="15"/>
          <w:szCs w:val="15"/>
          <w:color w:val="auto"/>
        </w:rPr>
      </w:pPr>
    </w:p>
    <w:p>
      <w:pPr>
        <w:ind w:left="8" w:firstLine="541"/>
        <w:spacing w:after="0" w:line="261" w:lineRule="auto"/>
        <w:tabs>
          <w:tab w:leader="none" w:pos="774"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any of such Securities are to be issuable in global form, when any of such Securities are to be issuable in global form and (i) whether such Securities are to be issued in temporary or permanent global form or both, (ii) whether beneficial owners of interests in any such Global Security may exchange such interests for Securities of the same series and of like tenor and of any authorized form and denomination, and the circumstances under which any such exchanges may occur, if other than in the manner specified in Section 3.5, and</w:t>
      </w:r>
    </w:p>
    <w:p>
      <w:pPr>
        <w:spacing w:after="0" w:line="1"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 of the Depositary or the U.S. Depositary, as the case may be, with respect to any Global Security;</w:t>
      </w:r>
    </w:p>
    <w:p>
      <w:pPr>
        <w:spacing w:after="0" w:line="179" w:lineRule="exact"/>
        <w:rPr>
          <w:rFonts w:ascii="Times New Roman" w:cs="Times New Roman" w:eastAsia="Times New Roman" w:hAnsi="Times New Roman"/>
          <w:sz w:val="15"/>
          <w:szCs w:val="15"/>
          <w:color w:val="auto"/>
        </w:rPr>
      </w:pPr>
    </w:p>
    <w:p>
      <w:pPr>
        <w:ind w:left="768" w:hanging="219"/>
        <w:spacing w:after="0"/>
        <w:tabs>
          <w:tab w:leader="none" w:pos="768"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as of which any Global Security shall be dated (if other than the date of original issuance of the first of such Securities to be issued);</w:t>
      </w:r>
    </w:p>
    <w:p>
      <w:pPr>
        <w:spacing w:after="0" w:line="193" w:lineRule="exact"/>
        <w:rPr>
          <w:rFonts w:ascii="Times New Roman" w:cs="Times New Roman" w:eastAsia="Times New Roman" w:hAnsi="Times New Roman"/>
          <w:sz w:val="15"/>
          <w:szCs w:val="15"/>
          <w:color w:val="auto"/>
        </w:rPr>
      </w:pPr>
    </w:p>
    <w:p>
      <w:pPr>
        <w:ind w:left="768" w:hanging="219"/>
        <w:spacing w:after="0"/>
        <w:tabs>
          <w:tab w:leader="none" w:pos="768"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or dates, or the method for determining such date or dates, on which the principal of such Securities will be payable;</w:t>
      </w:r>
    </w:p>
    <w:p>
      <w:pPr>
        <w:spacing w:after="0" w:line="193" w:lineRule="exact"/>
        <w:rPr>
          <w:rFonts w:ascii="Times New Roman" w:cs="Times New Roman" w:eastAsia="Times New Roman" w:hAnsi="Times New Roman"/>
          <w:sz w:val="15"/>
          <w:szCs w:val="15"/>
          <w:color w:val="auto"/>
        </w:rPr>
      </w:pPr>
    </w:p>
    <w:p>
      <w:pPr>
        <w:ind w:left="8" w:right="20" w:firstLine="541"/>
        <w:spacing w:after="0" w:line="263" w:lineRule="auto"/>
        <w:tabs>
          <w:tab w:leader="none" w:pos="774"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rate or rates at which such Securities shall bear interest, if any, or the method or methods, if any, by which such rate or rates are to be determined, the date or dates, if any, from which such interest shall accrue or the method or methods, if any, by which such date or dates are to be determined, the Interest Payment Dates, if any, on which such interest shall be payable and the Regular Record Date, if any, for the interest payable on Registered Securities on any Interest Payment Date, whether and under what circumstances Additional Amounts on such Securities or any of them shall be payable, the notice, if any, to Holders regarding the determination of interest on a floating rate Security and the manner of giving such notice, and the basis upon which interest shall be calculated if other than that of a 360-day year of twelve 30-day months;</w:t>
      </w:r>
    </w:p>
    <w:p>
      <w:pPr>
        <w:spacing w:after="0" w:line="33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8"/>
          </w:cols>
          <w:pgMar w:left="312" w:top="785" w:right="339" w:bottom="1440" w:gutter="0" w:footer="0" w:header="0"/>
        </w:sectPr>
      </w:pPr>
    </w:p>
    <w:bookmarkStart w:id="125" w:name="page126"/>
    <w:bookmarkEnd w:id="125"/>
    <w:p>
      <w:pPr>
        <w:ind w:firstLine="541"/>
        <w:spacing w:after="0" w:line="263" w:lineRule="auto"/>
        <w:tabs>
          <w:tab w:leader="none" w:pos="766"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in addition to or other than the Borough of Manhattan, The City of New York, the place or places where the principal of, any premium and interest on or any Additional Amounts with respect to such Securities shall be payable, any of such Securities that are Registered Securities may be surrendered for registration of transfer or exchange, any of such Securities may be surrendered for conversion or exchange and notices or demands to or upon the Company in respect of such Securities and this Indenture may be served, the extent to which, or the manner in which, any interest payment or Additional Amounts on a Global Security on an Interest Payment Date, will be paid and the manner in which any principal of or premium, if any, on any Global Security will be paid;</w:t>
      </w:r>
    </w:p>
    <w:p>
      <w:pPr>
        <w:spacing w:after="0" w:line="153" w:lineRule="exact"/>
        <w:rPr>
          <w:rFonts w:ascii="Times New Roman" w:cs="Times New Roman" w:eastAsia="Times New Roman" w:hAnsi="Times New Roman"/>
          <w:sz w:val="15"/>
          <w:szCs w:val="15"/>
          <w:color w:val="auto"/>
        </w:rPr>
      </w:pPr>
    </w:p>
    <w:p>
      <w:pPr>
        <w:ind w:right="260" w:firstLine="541"/>
        <w:spacing w:after="0" w:line="290" w:lineRule="auto"/>
        <w:tabs>
          <w:tab w:leader="none" w:pos="766"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any of such Securities are to be redeemable at the option of the Company and, if so, the date or dates on which, the period or periods within which, the price or prices at which and the other terms and conditions upon which such Securities may be redeemed, in whole or in part, at the option of the Company;</w:t>
      </w:r>
    </w:p>
    <w:p>
      <w:pPr>
        <w:spacing w:after="0" w:line="132" w:lineRule="exact"/>
        <w:rPr>
          <w:rFonts w:ascii="Times New Roman" w:cs="Times New Roman" w:eastAsia="Times New Roman" w:hAnsi="Times New Roman"/>
          <w:sz w:val="15"/>
          <w:szCs w:val="15"/>
          <w:color w:val="auto"/>
        </w:rPr>
      </w:pPr>
    </w:p>
    <w:p>
      <w:pPr>
        <w:jc w:val="both"/>
        <w:ind w:right="80" w:firstLine="541"/>
        <w:spacing w:after="0" w:line="272" w:lineRule="auto"/>
        <w:tabs>
          <w:tab w:leader="none" w:pos="766"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Company is obligated to redeem or purchase any of such Securities pursuant to any sinking fund or analogous provision or at the option of any Holder thereof and, if so, the date or dates on which, the period or periods within which, the price or prices at which and the other terms and conditions upon which such Securities shall be redeemed or purchased, in whole or in part, pursuant to such obligation, and any provisions for the remarketing of such Securities so redeemed or purchased;</w:t>
      </w:r>
    </w:p>
    <w:p>
      <w:pPr>
        <w:spacing w:after="0" w:line="146" w:lineRule="exact"/>
        <w:rPr>
          <w:rFonts w:ascii="Times New Roman" w:cs="Times New Roman" w:eastAsia="Times New Roman" w:hAnsi="Times New Roman"/>
          <w:sz w:val="15"/>
          <w:szCs w:val="15"/>
          <w:color w:val="auto"/>
        </w:rPr>
      </w:pPr>
    </w:p>
    <w:p>
      <w:pPr>
        <w:ind w:right="280" w:firstLine="541"/>
        <w:spacing w:after="0" w:line="290" w:lineRule="auto"/>
        <w:tabs>
          <w:tab w:leader="none" w:pos="842"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denominations in which any of such Securities that are Registered Securities shall be issuable if other than denominations of $1,000 and any multiple of $1,000 in excess thereof;</w:t>
      </w:r>
    </w:p>
    <w:p>
      <w:pPr>
        <w:spacing w:after="0" w:line="132" w:lineRule="exact"/>
        <w:rPr>
          <w:rFonts w:ascii="Times New Roman" w:cs="Times New Roman" w:eastAsia="Times New Roman" w:hAnsi="Times New Roman"/>
          <w:sz w:val="15"/>
          <w:szCs w:val="15"/>
          <w:color w:val="auto"/>
        </w:rPr>
      </w:pPr>
    </w:p>
    <w:p>
      <w:pPr>
        <w:ind w:firstLine="541"/>
        <w:spacing w:after="0" w:line="272" w:lineRule="auto"/>
        <w:tabs>
          <w:tab w:leader="none" w:pos="836"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Securities of the series will be convertible into shares of Common Stock and/or exchangeable for other securities, cash or other property of the Company or of any other Person, and if so, the terms and conditions upon which such Securities will be so convertible or exchangeable, and any deletions from or modifications or additions to this Indenture to permit or to facilitate the issuance of such convertible or exchangeable Securities or the administration thereof;</w:t>
      </w:r>
    </w:p>
    <w:p>
      <w:pPr>
        <w:spacing w:after="0" w:line="146" w:lineRule="exact"/>
        <w:rPr>
          <w:rFonts w:ascii="Times New Roman" w:cs="Times New Roman" w:eastAsia="Times New Roman" w:hAnsi="Times New Roman"/>
          <w:sz w:val="15"/>
          <w:szCs w:val="15"/>
          <w:color w:val="auto"/>
        </w:rPr>
      </w:pPr>
    </w:p>
    <w:p>
      <w:pPr>
        <w:ind w:right="460" w:firstLine="541"/>
        <w:spacing w:after="0" w:line="290" w:lineRule="auto"/>
        <w:tabs>
          <w:tab w:leader="none" w:pos="842"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the principal amount thereof, the portion of the principal amount of any of such Securities that shall be payable upon declaration of acceleration of the Maturity thereof pursuant to Section 5.2 or the method by which such portion is to be determined;</w:t>
      </w:r>
    </w:p>
    <w:p>
      <w:pPr>
        <w:spacing w:after="0" w:line="132" w:lineRule="exact"/>
        <w:rPr>
          <w:rFonts w:ascii="Times New Roman" w:cs="Times New Roman" w:eastAsia="Times New Roman" w:hAnsi="Times New Roman"/>
          <w:sz w:val="15"/>
          <w:szCs w:val="15"/>
          <w:color w:val="auto"/>
        </w:rPr>
      </w:pPr>
    </w:p>
    <w:p>
      <w:pPr>
        <w:ind w:right="400" w:firstLine="541"/>
        <w:spacing w:after="0" w:line="290" w:lineRule="auto"/>
        <w:tabs>
          <w:tab w:leader="none" w:pos="842"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other than Dollars, the Foreign Currency in which payment of the principal of, any premium or interest on or any Additional Amounts with respect to any of such Securities shall be payable;</w:t>
      </w:r>
    </w:p>
    <w:p>
      <w:pPr>
        <w:spacing w:after="0" w:line="132" w:lineRule="exact"/>
        <w:rPr>
          <w:rFonts w:ascii="Times New Roman" w:cs="Times New Roman" w:eastAsia="Times New Roman" w:hAnsi="Times New Roman"/>
          <w:sz w:val="15"/>
          <w:szCs w:val="15"/>
          <w:color w:val="auto"/>
        </w:rPr>
      </w:pPr>
    </w:p>
    <w:p>
      <w:pPr>
        <w:ind w:firstLine="541"/>
        <w:spacing w:after="0" w:line="263" w:lineRule="auto"/>
        <w:tabs>
          <w:tab w:leader="none" w:pos="842"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principal of, any premium or interest on or any Additional Amounts with respect to any of such Securities are to be payable, at the election of the Company or a Holder thereof or otherwise, in Currency other than that in which such Securities are stated to be payable, the date or dates on which, the period or periods within which, and the other terms and conditions upon which, such election may be made, and the time and manner of determining the exchange rate between the Currency in which such Securities are stated to be payable and the Currency in which such Securities or any of them are to be paid pursuant to such election, and any deletions from or modifications of or additions to the terms of this Indenture to provide for or to facilitate the issuance of Securities denominated or payable, at the election of the Company or a Holder thereof or otherwise, in a Foreign Currency;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26" w:name="page127"/>
    <w:bookmarkEnd w:id="126"/>
    <w:p>
      <w:pPr>
        <w:ind w:right="40" w:firstLine="541"/>
        <w:spacing w:after="0" w:line="266" w:lineRule="auto"/>
        <w:tabs>
          <w:tab w:leader="none" w:pos="842"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amount of payments of principal of, any premium or interest on or any Additional Amounts with respect to such Securities may be determined with reference to an index, formula, financial or economic measure or other method or methods (which index, formula, measure or method or methods may be based, without limitation, on one or more Currencies, commodities, equity indices or other indices), and, if so, the terms and conditions upon which and the manner in which such amounts shall be determined and paid or be payable;</w:t>
      </w:r>
    </w:p>
    <w:p>
      <w:pPr>
        <w:spacing w:after="0" w:line="151" w:lineRule="exact"/>
        <w:rPr>
          <w:rFonts w:ascii="Times New Roman" w:cs="Times New Roman" w:eastAsia="Times New Roman" w:hAnsi="Times New Roman"/>
          <w:sz w:val="15"/>
          <w:szCs w:val="15"/>
          <w:color w:val="auto"/>
        </w:rPr>
      </w:pPr>
    </w:p>
    <w:p>
      <w:pPr>
        <w:ind w:right="40" w:firstLine="541"/>
        <w:spacing w:after="0" w:line="290" w:lineRule="auto"/>
        <w:tabs>
          <w:tab w:leader="none" w:pos="842"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deletions from, modifications of or additions to the Events of Default or covenants of the Company with respect to any of such Securities, whether or not such Events of Default or covenants are consistent with the Events of Default or covenants set forth herein;</w:t>
      </w:r>
    </w:p>
    <w:p>
      <w:pPr>
        <w:spacing w:after="0" w:line="132" w:lineRule="exact"/>
        <w:rPr>
          <w:rFonts w:ascii="Times New Roman" w:cs="Times New Roman" w:eastAsia="Times New Roman" w:hAnsi="Times New Roman"/>
          <w:sz w:val="15"/>
          <w:szCs w:val="15"/>
          <w:color w:val="auto"/>
        </w:rPr>
      </w:pPr>
    </w:p>
    <w:p>
      <w:pPr>
        <w:ind w:firstLine="541"/>
        <w:spacing w:after="0" w:line="266" w:lineRule="auto"/>
        <w:tabs>
          <w:tab w:leader="none" w:pos="842"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either or both of Section 4.2(2) relating to defeasance or Section 4.2(3) relating to covenant defeasance shall not be applicable to the Securities of such series, and any covenants relating to the Securities of such series which shall be subject to covenant defeasance, and, if the Securities of such series are subject to repurchase or repayment at the option of the Holders thereof, whether the Company’s obligation to repurchase or repay such Securities will be subject to defeasance or covenant defeasance, and any deletions from, or modifications or additions to, the provisions of Article 4 in respect of the Securities of such series;</w:t>
      </w:r>
    </w:p>
    <w:p>
      <w:pPr>
        <w:spacing w:after="0" w:line="151" w:lineRule="exact"/>
        <w:rPr>
          <w:rFonts w:ascii="Times New Roman" w:cs="Times New Roman" w:eastAsia="Times New Roman" w:hAnsi="Times New Roman"/>
          <w:sz w:val="15"/>
          <w:szCs w:val="15"/>
          <w:color w:val="auto"/>
        </w:rPr>
      </w:pPr>
    </w:p>
    <w:p>
      <w:pPr>
        <w:ind w:left="840" w:hanging="299"/>
        <w:spacing w:after="0"/>
        <w:tabs>
          <w:tab w:leader="none" w:pos="8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any of such Securities are to be issuable upon the exercise of warrants or units, and the time, manner and place for such Securities to be authenticated and</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delivered;</w:t>
      </w:r>
    </w:p>
    <w:p>
      <w:pPr>
        <w:spacing w:after="0" w:line="179" w:lineRule="exact"/>
        <w:rPr>
          <w:rFonts w:ascii="Times New Roman" w:cs="Times New Roman" w:eastAsia="Times New Roman" w:hAnsi="Times New Roman"/>
          <w:sz w:val="15"/>
          <w:szCs w:val="15"/>
          <w:color w:val="auto"/>
        </w:rPr>
      </w:pPr>
    </w:p>
    <w:p>
      <w:pPr>
        <w:ind w:firstLine="541"/>
        <w:spacing w:after="0" w:line="290" w:lineRule="auto"/>
        <w:tabs>
          <w:tab w:leader="none" w:pos="842"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there is more than one Trustee or a Trustee other than ____________________, the identity of the Trustee and, if not the Trustee, the identity of each Security Registrar, Paying Agent or Authenticating Agent with respect to such Securities;</w:t>
      </w:r>
    </w:p>
    <w:p>
      <w:pPr>
        <w:spacing w:after="0" w:line="132" w:lineRule="exact"/>
        <w:rPr>
          <w:rFonts w:ascii="Times New Roman" w:cs="Times New Roman" w:eastAsia="Times New Roman" w:hAnsi="Times New Roman"/>
          <w:sz w:val="15"/>
          <w:szCs w:val="15"/>
          <w:color w:val="auto"/>
        </w:rPr>
      </w:pPr>
    </w:p>
    <w:p>
      <w:pPr>
        <w:ind w:left="840" w:hanging="299"/>
        <w:spacing w:after="0"/>
        <w:tabs>
          <w:tab w:leader="none" w:pos="8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Securities are senior or subordinated debt securities, and if subordinated debt securities, the terms of such subordination;</w:t>
      </w:r>
    </w:p>
    <w:p>
      <w:pPr>
        <w:spacing w:after="0" w:line="193" w:lineRule="exact"/>
        <w:rPr>
          <w:rFonts w:ascii="Times New Roman" w:cs="Times New Roman" w:eastAsia="Times New Roman" w:hAnsi="Times New Roman"/>
          <w:sz w:val="15"/>
          <w:szCs w:val="15"/>
          <w:color w:val="auto"/>
        </w:rPr>
      </w:pPr>
    </w:p>
    <w:p>
      <w:pPr>
        <w:ind w:firstLine="541"/>
        <w:spacing w:after="0" w:line="290" w:lineRule="auto"/>
        <w:tabs>
          <w:tab w:leader="none" w:pos="842"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Securities of the series will be guaranteed by any Persons and, if so, the identity of such Persons, the terms and conditions upon which such Securities shall be guaranteed and, if applicable, the terms and conditions upon which such guarantees may be subordinated to other indebtedness of the respective guarantors and may be released;</w:t>
      </w:r>
    </w:p>
    <w:p>
      <w:pPr>
        <w:spacing w:after="0" w:line="132" w:lineRule="exact"/>
        <w:rPr>
          <w:rFonts w:ascii="Times New Roman" w:cs="Times New Roman" w:eastAsia="Times New Roman" w:hAnsi="Times New Roman"/>
          <w:sz w:val="15"/>
          <w:szCs w:val="15"/>
          <w:color w:val="auto"/>
        </w:rPr>
      </w:pPr>
    </w:p>
    <w:p>
      <w:pPr>
        <w:ind w:right="220" w:firstLine="541"/>
        <w:spacing w:after="0" w:line="290" w:lineRule="auto"/>
        <w:tabs>
          <w:tab w:leader="none" w:pos="842"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the Securities of the series will be secured by any collateral and, if so, the terms and conditions upon which such Securities shall be secured and, if applicable, upon which such liens may be subordinated to other liens securing other indebtedness of the Company or any guarantor and may be released; and</w:t>
      </w:r>
    </w:p>
    <w:p>
      <w:pPr>
        <w:spacing w:after="0" w:line="132" w:lineRule="exact"/>
        <w:rPr>
          <w:rFonts w:ascii="Times New Roman" w:cs="Times New Roman" w:eastAsia="Times New Roman" w:hAnsi="Times New Roman"/>
          <w:sz w:val="15"/>
          <w:szCs w:val="15"/>
          <w:color w:val="auto"/>
        </w:rPr>
      </w:pPr>
    </w:p>
    <w:p>
      <w:pPr>
        <w:ind w:left="840" w:hanging="299"/>
        <w:spacing w:after="0"/>
        <w:tabs>
          <w:tab w:leader="none" w:pos="8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terms of such Securities and any deletions from or modifications or additions to this Indenture in respect of such Securities.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27" w:name="page128"/>
    <w:bookmarkEnd w:id="127"/>
    <w:p>
      <w:pPr>
        <w:ind w:firstLine="549"/>
        <w:spacing w:after="0" w:line="259" w:lineRule="auto"/>
        <w:rPr>
          <w:sz w:val="20"/>
          <w:szCs w:val="20"/>
          <w:color w:val="auto"/>
        </w:rPr>
      </w:pPr>
      <w:r>
        <w:rPr>
          <w:rFonts w:ascii="Times New Roman" w:cs="Times New Roman" w:eastAsia="Times New Roman" w:hAnsi="Times New Roman"/>
          <w:sz w:val="15"/>
          <w:szCs w:val="15"/>
          <w:color w:val="auto"/>
        </w:rPr>
        <w:t>All Securities of any one series shall be substantially identical except as to denomination and except as may otherwise be provided by the Company in or pursuant to the Board Resolution and set forth in the Officer’s Certificate or in any indenture or indentures supplemental hereto pertaining to such series of Securities. The terms of the Securities of any series may provide, without limitation, that the Securities of such series shall be authenticated and delivered by the Trustee on original issue from time to time in accordance with such procedures as are acceptable to the Trustee (including authentication and delivery by the Trustee on original issue from time to time upon telephonic or written order of persons designated in the Officer’s Certificate or supplemental indenture (telephonic instructions to be promptly confirmed in writing by such person) and that such persons are authorized to determine, consistent with such Officer’s Certificate or any applicable supplemental indenture, such terms and conditions of the Securities of such series as are specified in such Officer’s Certificate or supplemental indenture). All Securities of any one series need not be issued at the same time and, unless otherwise so provided by the Company, a series may be reopened for issuances of additional Securities of such series or to establish additional terms of such series of Securities. If any of the terms of the Securities of any series shall be established by action taken by or pursuant to a Board Resolution, the Board Resolution shall be delivered to the Trustee at or prior to the delivery of the Officer’s Certificate setting forth the terms of such series.</w:t>
      </w:r>
    </w:p>
    <w:p>
      <w:pPr>
        <w:spacing w:after="0" w:line="3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3.2 </w:t>
      </w:r>
      <w:r>
        <w:rPr>
          <w:rFonts w:ascii="Times New Roman" w:cs="Times New Roman" w:eastAsia="Times New Roman" w:hAnsi="Times New Roman"/>
          <w:sz w:val="15"/>
          <w:szCs w:val="15"/>
          <w:u w:val="single" w:color="auto"/>
          <w:color w:val="auto"/>
        </w:rPr>
        <w:t>Currency; Denominations</w:t>
      </w:r>
    </w:p>
    <w:p>
      <w:pPr>
        <w:spacing w:after="0" w:line="194" w:lineRule="exact"/>
        <w:rPr>
          <w:sz w:val="20"/>
          <w:szCs w:val="20"/>
          <w:color w:val="auto"/>
        </w:rPr>
      </w:pPr>
    </w:p>
    <w:p>
      <w:pPr>
        <w:ind w:right="160" w:firstLine="549"/>
        <w:spacing w:after="0" w:line="266" w:lineRule="auto"/>
        <w:rPr>
          <w:sz w:val="20"/>
          <w:szCs w:val="20"/>
          <w:color w:val="auto"/>
        </w:rPr>
      </w:pPr>
      <w:r>
        <w:rPr>
          <w:rFonts w:ascii="Times New Roman" w:cs="Times New Roman" w:eastAsia="Times New Roman" w:hAnsi="Times New Roman"/>
          <w:sz w:val="15"/>
          <w:szCs w:val="15"/>
          <w:color w:val="auto"/>
        </w:rPr>
        <w:t>Unless otherwise provided in or pursuant to this Indenture or any Security, the principal of, any premium and interest on and any Additional Amounts with respect to, the Securities shall be payable in Dollars. Unless otherwise provided in or pursuant to this Indenture, Registered Securities denominated in Dollars shall be issuable in registered form without coupons in denominations of $1,000 or any integral multiple of $1,000 in excess thereof. Securities not denominated in Dollars shall be issuable in such denominations as are established with respect to such Securities in or pursuant to this Indenture.</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3.3 </w:t>
      </w:r>
      <w:r>
        <w:rPr>
          <w:rFonts w:ascii="Times New Roman" w:cs="Times New Roman" w:eastAsia="Times New Roman" w:hAnsi="Times New Roman"/>
          <w:sz w:val="15"/>
          <w:szCs w:val="15"/>
          <w:u w:val="single" w:color="auto"/>
          <w:color w:val="auto"/>
        </w:rPr>
        <w:t>Execution, Authentication, Delivery and Dating</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Securities shall be executed on behalf of the Company by any Officer of the Company. The signature of any such Officer on the Securities may be manual or facsimile.</w:t>
      </w:r>
    </w:p>
    <w:p>
      <w:pPr>
        <w:spacing w:after="0" w:line="194" w:lineRule="exact"/>
        <w:rPr>
          <w:sz w:val="20"/>
          <w:szCs w:val="20"/>
          <w:color w:val="auto"/>
        </w:rPr>
      </w:pPr>
    </w:p>
    <w:p>
      <w:pPr>
        <w:jc w:val="both"/>
        <w:ind w:right="240" w:firstLine="549"/>
        <w:spacing w:after="0" w:line="290" w:lineRule="auto"/>
        <w:rPr>
          <w:sz w:val="20"/>
          <w:szCs w:val="20"/>
          <w:color w:val="auto"/>
        </w:rPr>
      </w:pPr>
      <w:r>
        <w:rPr>
          <w:rFonts w:ascii="Times New Roman" w:cs="Times New Roman" w:eastAsia="Times New Roman" w:hAnsi="Times New Roman"/>
          <w:sz w:val="15"/>
          <w:szCs w:val="15"/>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33" w:lineRule="exact"/>
        <w:rPr>
          <w:sz w:val="20"/>
          <w:szCs w:val="20"/>
          <w:color w:val="auto"/>
        </w:rPr>
      </w:pPr>
    </w:p>
    <w:p>
      <w:pPr>
        <w:ind w:right="80" w:firstLine="549"/>
        <w:spacing w:after="0" w:line="261" w:lineRule="auto"/>
        <w:rPr>
          <w:sz w:val="20"/>
          <w:szCs w:val="20"/>
          <w:color w:val="auto"/>
        </w:rPr>
      </w:pPr>
      <w:r>
        <w:rPr>
          <w:rFonts w:ascii="Times New Roman" w:cs="Times New Roman" w:eastAsia="Times New Roman" w:hAnsi="Times New Roman"/>
          <w:sz w:val="15"/>
          <w:szCs w:val="15"/>
          <w:color w:val="auto"/>
        </w:rPr>
        <w:t>At any time and from time to time after the execution and delivery of this Indenture, the Company may deliver Securities, executed by the Company, to the Trustee for authentication and, provided that the Board Resolution and Officer’s Certificate or supplemental indenture or indentures with respect to such Securities referred to in Section 3.1 and a Company Order for the authentication and delivery of such Securities have been delivered to the Trustee, the Trustee in accordance with the Company Order and subject to the provisions hereof and of such Securities shall authenticate and deliver such Securities. In authenticating such Securities, and accepting the additional responsibilities under this Indenture in relation to such Securities, the Trustee shall be provided with, and (subject to Sections 315(a) through 315(d) of the Trust Indenture Act) shall be fully protected in relying upon an Opinion of Counsel and an Officer’s Certificate that contain the statements required by Section 1.2.</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28" w:name="page129"/>
    <w:bookmarkEnd w:id="128"/>
    <w:p>
      <w:pPr>
        <w:ind w:right="560" w:firstLine="549"/>
        <w:spacing w:after="0" w:line="290" w:lineRule="auto"/>
        <w:rPr>
          <w:sz w:val="20"/>
          <w:szCs w:val="20"/>
          <w:color w:val="auto"/>
        </w:rPr>
      </w:pPr>
      <w:r>
        <w:rPr>
          <w:rFonts w:ascii="Times New Roman" w:cs="Times New Roman" w:eastAsia="Times New Roman" w:hAnsi="Times New Roman"/>
          <w:sz w:val="15"/>
          <w:szCs w:val="15"/>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33"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Notwithstanding the provisions of Section 3.1 and of the preceding paragraph, if all Securities of a series are not to be originally issued at one time, it shall not be necessary to deliver the Officer’s Certificate or Company Order otherwise required pursuant to such preceding paragraph at or prior to the authentication of each Security of such series if such documents are delivered at or prior to the authentication upon original issuance of the first Security of such series to be issued. This paragraph shall not be applicable to Securities of a series that are issued as part of a reopening pursuant to the last paragraph of Section 3.1.</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Each Registered Security shall be dated the date of its authentication.</w:t>
      </w:r>
    </w:p>
    <w:p>
      <w:pPr>
        <w:spacing w:after="0" w:line="194" w:lineRule="exact"/>
        <w:rPr>
          <w:sz w:val="20"/>
          <w:szCs w:val="20"/>
          <w:color w:val="auto"/>
        </w:rPr>
      </w:pPr>
    </w:p>
    <w:p>
      <w:pPr>
        <w:ind w:right="60" w:firstLine="549"/>
        <w:spacing w:after="0" w:line="272" w:lineRule="auto"/>
        <w:rPr>
          <w:sz w:val="20"/>
          <w:szCs w:val="20"/>
          <w:color w:val="auto"/>
        </w:rPr>
      </w:pPr>
      <w:r>
        <w:rPr>
          <w:rFonts w:ascii="Times New Roman" w:cs="Times New Roman" w:eastAsia="Times New Roman" w:hAnsi="Times New Roman"/>
          <w:sz w:val="15"/>
          <w:szCs w:val="15"/>
          <w:color w:val="auto"/>
        </w:rPr>
        <w:t>No Security shall be entitled to any benefit under this Indenture or be valid or obligatory for any purpose, unless there appears on such Security a certificate of authentication substantially in the form provided for in Section 2.2 or Section 6.12 executed by or on behalf of the Trustee or by the Authenticating Agent by the manual signature of one of its authorized signatories. Such certificate upon any Security shall be conclusive evidence, and the only evidence, that such Security has been duly authenticated and delivered hereunder.</w:t>
      </w:r>
    </w:p>
    <w:p>
      <w:pPr>
        <w:spacing w:after="0" w:line="146" w:lineRule="exact"/>
        <w:rPr>
          <w:sz w:val="20"/>
          <w:szCs w:val="20"/>
          <w:color w:val="auto"/>
        </w:rPr>
      </w:pPr>
    </w:p>
    <w:p>
      <w:pPr>
        <w:ind w:right="180" w:firstLine="549"/>
        <w:spacing w:after="0" w:line="272" w:lineRule="auto"/>
        <w:rPr>
          <w:sz w:val="20"/>
          <w:szCs w:val="20"/>
          <w:color w:val="auto"/>
        </w:rPr>
      </w:pPr>
      <w:r>
        <w:rPr>
          <w:rFonts w:ascii="Times New Roman" w:cs="Times New Roman" w:eastAsia="Times New Roman" w:hAnsi="Times New Roman"/>
          <w:sz w:val="15"/>
          <w:szCs w:val="15"/>
          <w:color w:val="auto"/>
        </w:rPr>
        <w:t>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3.4 </w:t>
      </w:r>
      <w:r>
        <w:rPr>
          <w:rFonts w:ascii="Times New Roman" w:cs="Times New Roman" w:eastAsia="Times New Roman" w:hAnsi="Times New Roman"/>
          <w:sz w:val="15"/>
          <w:szCs w:val="15"/>
          <w:u w:val="single" w:color="auto"/>
          <w:color w:val="auto"/>
        </w:rPr>
        <w:t>Temporary Securities</w:t>
      </w:r>
    </w:p>
    <w:p>
      <w:pPr>
        <w:spacing w:after="0" w:line="194" w:lineRule="exact"/>
        <w:rPr>
          <w:sz w:val="20"/>
          <w:szCs w:val="20"/>
          <w:color w:val="auto"/>
        </w:rPr>
      </w:pPr>
    </w:p>
    <w:p>
      <w:pPr>
        <w:ind w:right="20" w:firstLine="549"/>
        <w:spacing w:after="0" w:line="263" w:lineRule="auto"/>
        <w:rPr>
          <w:sz w:val="20"/>
          <w:szCs w:val="20"/>
          <w:color w:val="auto"/>
        </w:rPr>
      </w:pPr>
      <w:r>
        <w:rPr>
          <w:rFonts w:ascii="Times New Roman" w:cs="Times New Roman" w:eastAsia="Times New Roman" w:hAnsi="Times New Roman"/>
          <w:sz w:val="15"/>
          <w:szCs w:val="15"/>
          <w:color w:val="auto"/>
        </w:rPr>
        <w:t>Pending the preparation of Definitive Securities, the Company may execute and deliver to the Trustee and, upon Company Order, the Trustee shall authenticate and deliver, in the manner provided in Section 3.3, temporary Securities in lieu thereof which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of the Company executing such Securities may determine, as conclusively evidenced by their execution of such Securities. Such temporary Securities may be in the form of Global Securities.</w:t>
      </w:r>
    </w:p>
    <w:p>
      <w:pPr>
        <w:spacing w:after="0" w:line="154" w:lineRule="exact"/>
        <w:rPr>
          <w:sz w:val="20"/>
          <w:szCs w:val="20"/>
          <w:color w:val="auto"/>
        </w:rPr>
      </w:pPr>
    </w:p>
    <w:p>
      <w:pPr>
        <w:ind w:right="60" w:firstLine="549"/>
        <w:spacing w:after="0" w:line="260" w:lineRule="auto"/>
        <w:rPr>
          <w:sz w:val="20"/>
          <w:szCs w:val="20"/>
          <w:color w:val="auto"/>
        </w:rPr>
      </w:pPr>
      <w:r>
        <w:rPr>
          <w:rFonts w:ascii="Times New Roman" w:cs="Times New Roman" w:eastAsia="Times New Roman" w:hAnsi="Times New Roman"/>
          <w:sz w:val="15"/>
          <w:szCs w:val="15"/>
          <w:color w:val="auto"/>
        </w:rPr>
        <w:t>Except in the case of temporary Global Securities, which shall be exchanged in accordance with the provisions thereof, if temporary Securities are issued, the Company shall cause Definitive Securities to be prepared without unreasonable delay. After the preparation of Definitive Securities of the same series and containing terms and provisions that are identical to those of any temporary Securities, such temporary Securities shall be exchangeable for such Definitive Securities upon surrender of such temporary Securities at an Office or Agency for such Securities, without charge to any Holder thereof. Upon surrender for cancellation of any one or more temporary Securities, the Company shall execute and the Trustee shall authenticate and deliver in exchange therefor a like principal amount of Definitive Securities of authorized denominations of the same series and containing identical terms and provisions. Unless otherwise provided in or pursuant to this Indenture with respect to a temporary Global Security, until so exchanged the temporary Securities of any series shall in all respects be entitled to the same benefits under this Indenture as Definitive Securities of such series.</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129" w:name="page130"/>
    <w:bookmarkEnd w:id="129"/>
    <w:p>
      <w:pPr>
        <w:ind w:left="548"/>
        <w:spacing w:after="0"/>
        <w:rPr>
          <w:sz w:val="20"/>
          <w:szCs w:val="20"/>
          <w:color w:val="auto"/>
        </w:rPr>
      </w:pPr>
      <w:r>
        <w:rPr>
          <w:rFonts w:ascii="Times New Roman" w:cs="Times New Roman" w:eastAsia="Times New Roman" w:hAnsi="Times New Roman"/>
          <w:sz w:val="15"/>
          <w:szCs w:val="15"/>
          <w:color w:val="auto"/>
        </w:rPr>
        <w:t xml:space="preserve">Section 3.5 </w:t>
      </w:r>
      <w:r>
        <w:rPr>
          <w:rFonts w:ascii="Times New Roman" w:cs="Times New Roman" w:eastAsia="Times New Roman" w:hAnsi="Times New Roman"/>
          <w:sz w:val="15"/>
          <w:szCs w:val="15"/>
          <w:u w:val="single" w:color="auto"/>
          <w:color w:val="auto"/>
        </w:rPr>
        <w:t>Registration, Transfer and Exchange</w:t>
      </w:r>
    </w:p>
    <w:p>
      <w:pPr>
        <w:spacing w:after="0" w:line="194" w:lineRule="exact"/>
        <w:rPr>
          <w:sz w:val="20"/>
          <w:szCs w:val="20"/>
          <w:color w:val="auto"/>
        </w:rPr>
      </w:pPr>
    </w:p>
    <w:p>
      <w:pPr>
        <w:ind w:left="8" w:right="220" w:firstLine="549"/>
        <w:spacing w:after="0" w:line="272" w:lineRule="auto"/>
        <w:rPr>
          <w:sz w:val="20"/>
          <w:szCs w:val="20"/>
          <w:color w:val="auto"/>
        </w:rPr>
      </w:pPr>
      <w:r>
        <w:rPr>
          <w:rFonts w:ascii="Times New Roman" w:cs="Times New Roman" w:eastAsia="Times New Roman" w:hAnsi="Times New Roman"/>
          <w:sz w:val="15"/>
          <w:szCs w:val="15"/>
          <w:color w:val="auto"/>
        </w:rPr>
        <w:t>With respect to the Registered Securities of each series, if any, the Company shall cause to be kept a register (each such register being herein sometimes referred to as the “</w:t>
      </w:r>
      <w:r>
        <w:rPr>
          <w:rFonts w:ascii="Times New Roman" w:cs="Times New Roman" w:eastAsia="Times New Roman" w:hAnsi="Times New Roman"/>
          <w:sz w:val="15"/>
          <w:szCs w:val="15"/>
          <w:u w:val="single" w:color="auto"/>
          <w:color w:val="auto"/>
        </w:rPr>
        <w:t>Security Register</w:t>
      </w:r>
      <w:r>
        <w:rPr>
          <w:rFonts w:ascii="Times New Roman" w:cs="Times New Roman" w:eastAsia="Times New Roman" w:hAnsi="Times New Roman"/>
          <w:sz w:val="15"/>
          <w:szCs w:val="15"/>
          <w:color w:val="auto"/>
        </w:rPr>
        <w:t>”) at an Office or Agency for such series in which, subject to such reasonable regulations as it may prescribe, the Company shall provide for the registration of the Registered Securities of such series and of transfers of the Registered Securities of such series.</w:t>
      </w:r>
    </w:p>
    <w:p>
      <w:pPr>
        <w:spacing w:after="0" w:line="146" w:lineRule="exact"/>
        <w:rPr>
          <w:sz w:val="20"/>
          <w:szCs w:val="20"/>
          <w:color w:val="auto"/>
        </w:rPr>
      </w:pPr>
    </w:p>
    <w:p>
      <w:pPr>
        <w:ind w:left="8" w:firstLine="549"/>
        <w:spacing w:after="0" w:line="263" w:lineRule="auto"/>
        <w:rPr>
          <w:sz w:val="20"/>
          <w:szCs w:val="20"/>
          <w:color w:val="auto"/>
        </w:rPr>
      </w:pPr>
      <w:r>
        <w:rPr>
          <w:rFonts w:ascii="Times New Roman" w:cs="Times New Roman" w:eastAsia="Times New Roman" w:hAnsi="Times New Roman"/>
          <w:sz w:val="15"/>
          <w:szCs w:val="15"/>
          <w:color w:val="auto"/>
        </w:rPr>
        <w:t>Such Office or Agency shall be the “</w:t>
      </w:r>
      <w:r>
        <w:rPr>
          <w:rFonts w:ascii="Times New Roman" w:cs="Times New Roman" w:eastAsia="Times New Roman" w:hAnsi="Times New Roman"/>
          <w:sz w:val="15"/>
          <w:szCs w:val="15"/>
          <w:u w:val="single" w:color="auto"/>
          <w:color w:val="auto"/>
        </w:rPr>
        <w:t>Security Registrar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u w:val="single" w:color="auto"/>
          <w:color w:val="auto"/>
        </w:rPr>
        <w:t>Registrar</w:t>
      </w:r>
      <w:r>
        <w:rPr>
          <w:rFonts w:ascii="Times New Roman" w:cs="Times New Roman" w:eastAsia="Times New Roman" w:hAnsi="Times New Roman"/>
          <w:sz w:val="15"/>
          <w:szCs w:val="15"/>
          <w:color w:val="auto"/>
        </w:rPr>
        <w:t>” for that series of Securities. Unless otherwise specified in or pursuant to this Indenture or the Securities, the Trustee shall be the initial Security Registrar for each series of Securities. The Company shall have the right to remove and replace from time to time the Security Registrar for any series of Securities; provided that no such removal or replacement shall be effective until a successor Security Registrar with respect to such series of Securities shall have been appointed by the Company and shall have accepted such appointment by the Company. In the event that the Trustee shall not be or shall cease to be Security Registrar with respect to a series of Securities, it shall have the right to examine the Security Register for such series at all reasonable times. There shall be only one Security Register for each series of Securities.</w:t>
      </w:r>
    </w:p>
    <w:p>
      <w:pPr>
        <w:spacing w:after="0" w:line="154" w:lineRule="exact"/>
        <w:rPr>
          <w:sz w:val="20"/>
          <w:szCs w:val="20"/>
          <w:color w:val="auto"/>
        </w:rPr>
      </w:pPr>
    </w:p>
    <w:p>
      <w:pPr>
        <w:ind w:left="8" w:firstLine="549"/>
        <w:spacing w:after="0" w:line="260" w:lineRule="auto"/>
        <w:rPr>
          <w:sz w:val="20"/>
          <w:szCs w:val="20"/>
          <w:color w:val="auto"/>
        </w:rPr>
      </w:pPr>
      <w:r>
        <w:rPr>
          <w:rFonts w:ascii="Times New Roman" w:cs="Times New Roman" w:eastAsia="Times New Roman" w:hAnsi="Times New Roman"/>
          <w:sz w:val="15"/>
          <w:szCs w:val="15"/>
          <w:color w:val="auto"/>
        </w:rPr>
        <w:t>A Global Security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Notwithstanding the foregoing, except as may be provided pursuant to Section 3.1, any Global Security or any beneficial interest therein shall be exchangeable for Definitive Securities only if (i) the Depositary is at any time unwilling, unable or ineligible to continue as Depositary and a successor Depositary is not appointed by the Company within 90 days of the date the Company is so informed in writing,</w:t>
      </w:r>
    </w:p>
    <w:p>
      <w:pPr>
        <w:ind w:left="8" w:right="20" w:hanging="8"/>
        <w:spacing w:after="0" w:line="255" w:lineRule="auto"/>
        <w:tabs>
          <w:tab w:leader="none" w:pos="233"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Depositary ceases to be a clearing agency registered under the Exchange Act, (iii) the Company (subject to the Applicable Procedures) executes and delivers to the Trustee a Company Order to the effect that such Global Security shall be so exchangeable or (iv) an Event of Default has occurred and is continuing with respect to such Securities. If the holder of a Global Security or the beneficial owners of interests in a Global Security are entitled to exchange such interests for Definitive Securities as the result of an event specified in clause (i), (ii), (iii) or (iv) of the preceding sentence, the Company shall promptly make available to the Trustee Definitive Securities in such form and denominations as are required by or pursuant to this Indenture, and of the same series, containing identical terms and in aggregate principal amount equal to the principal amount of such Global Security, executed by the Company. Such Global Security shall be surrendered from time to time by the U.S. Depositary or such other Depositary as shall be specified in the Company Order with respect thereto, and in accordance with instructions given to the Trustee and the U.S. Depositary or such other Depositary, as the case may be (which instructions shall be in writing but need not be contained in or accompanied by an Officer’s Certificate or be accompanied by an Opinion of Counsel), as shall be specified in the Company Order with respect thereto to the Trustee, as the Company’s agent for such purpose, to be exchanged, in whole or in part, for Definitive Securities as described above without charge. The Trustee shall authenticate and make available for delivery, in exchange for each portion of such surrendered Global Security, a like aggregate principal amount of Definitive Securities of the same series of authorized denominations and of like tenor as the portion of such Global Security to be exchanged; provided, however, that no such exchanges may occur during a period beginning at the opening of business 15 days before any selection of Securities of the same series to be redeemed and ending on the relevant Redemption Date. Promptly following any such exchange in part, such Global Security shall be returned by the Trustee to such Depositary or the U.S. Depositary, as the case may be, or such other Depositary or U.S. Depositary referred to above in accordance with the instructions of the Company referred to above. If a Registered portion of a Global Security is exchanged for Definitive Registered Securities after the close of business at the Office or Agency for such Security where such exchange occurs on or after (i) any Regular Record Date for such Security and before the opening of business at such Office or Agency on the next Interest Payment Date, or (ii) any Special Record Date for such Security and before the opening of business at such Office or Agency on the related proposed date for payment of interest or Defaulted Interest, as the case may be, interest shall not be payable on such Interest Payment Date or proposed date for payment, as the case may be, in respect of such Definitive Registered Security, but shall be payable on such Interest Payment Date or proposed date for payment, as the case may be, only to the Person to whom interest in respect of such portion of such Global Security shall be payable in accordance with the provisions of this Indenture.</w:t>
      </w:r>
    </w:p>
    <w:p>
      <w:pPr>
        <w:spacing w:after="0" w:line="3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8"/>
          </w:cols>
          <w:pgMar w:left="312" w:top="789" w:right="339" w:bottom="1440" w:gutter="0" w:footer="0" w:header="0"/>
        </w:sectPr>
      </w:pPr>
    </w:p>
    <w:bookmarkStart w:id="130" w:name="page131"/>
    <w:bookmarkEnd w:id="130"/>
    <w:p>
      <w:pPr>
        <w:ind w:firstLine="549"/>
        <w:spacing w:after="0" w:line="272" w:lineRule="auto"/>
        <w:rPr>
          <w:sz w:val="20"/>
          <w:szCs w:val="20"/>
          <w:color w:val="auto"/>
        </w:rPr>
      </w:pPr>
      <w:r>
        <w:rPr>
          <w:rFonts w:ascii="Times New Roman" w:cs="Times New Roman" w:eastAsia="Times New Roman" w:hAnsi="Times New Roman"/>
          <w:sz w:val="15"/>
          <w:szCs w:val="15"/>
          <w:color w:val="auto"/>
        </w:rPr>
        <w:t>The transfer and exchange of beneficial interests in the Global Securities shall be effected through the Depositary, in accordance with the provisions of this Indenture and the Applicable Procedures. Transfers and exchanges of beneficial interests in the Global Securities also shall require compliance with either subparagraph (1) or (2) below, as applicable, as well as one or more of the other following paragraphs, as applicable:</w:t>
      </w:r>
    </w:p>
    <w:p>
      <w:pPr>
        <w:spacing w:after="0" w:line="146" w:lineRule="exact"/>
        <w:rPr>
          <w:sz w:val="20"/>
          <w:szCs w:val="20"/>
          <w:color w:val="auto"/>
        </w:rPr>
      </w:pPr>
    </w:p>
    <w:p>
      <w:pPr>
        <w:ind w:right="320" w:firstLine="541"/>
        <w:spacing w:after="0" w:line="290" w:lineRule="auto"/>
        <w:tabs>
          <w:tab w:leader="none" w:pos="766"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Beneficial interests in any Global Security may be transferred to Persons who take delivery thereof in the form of a beneficial interest in the same Global Security. No written orders or instructions shall be required to be delivered to the Registrar to effect the transfers described in this subparagraph (1).</w:t>
      </w:r>
    </w:p>
    <w:p>
      <w:pPr>
        <w:spacing w:after="0" w:line="132" w:lineRule="exact"/>
        <w:rPr>
          <w:rFonts w:ascii="Times New Roman" w:cs="Times New Roman" w:eastAsia="Times New Roman" w:hAnsi="Times New Roman"/>
          <w:sz w:val="15"/>
          <w:szCs w:val="15"/>
          <w:color w:val="auto"/>
        </w:rPr>
      </w:pPr>
    </w:p>
    <w:p>
      <w:pPr>
        <w:ind w:firstLine="541"/>
        <w:spacing w:after="0" w:line="261" w:lineRule="auto"/>
        <w:tabs>
          <w:tab w:leader="none" w:pos="766"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transfer or exchange of beneficial interests in any Global Security to Persons who take delivery thereof in the form of a beneficial interest in a different Global Security, the transferor of such beneficial interest must deliver to the Registrar (i) an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 (ii) instructions given in accordance with the Applicable Procedures containing information regarding the Participant account to be credited with such increase. Upon satisfaction of all of the requirements for transfer or exchange of beneficial interests in Global Securities contained in this Indenture and such Securities or otherwise applicable under the Securities Act, the Trustee shall adjust the principal amount of the relevant Global Security(s) pursuant to this paragraph.</w:t>
      </w:r>
    </w:p>
    <w:p>
      <w:pPr>
        <w:spacing w:after="0" w:line="157" w:lineRule="exact"/>
        <w:rPr>
          <w:sz w:val="20"/>
          <w:szCs w:val="20"/>
          <w:color w:val="auto"/>
        </w:rPr>
      </w:pPr>
    </w:p>
    <w:p>
      <w:pPr>
        <w:ind w:firstLine="549"/>
        <w:spacing w:after="0" w:line="258" w:lineRule="auto"/>
        <w:rPr>
          <w:sz w:val="20"/>
          <w:szCs w:val="20"/>
          <w:color w:val="auto"/>
        </w:rPr>
      </w:pPr>
      <w:r>
        <w:rPr>
          <w:rFonts w:ascii="Times New Roman" w:cs="Times New Roman" w:eastAsia="Times New Roman" w:hAnsi="Times New Roman"/>
          <w:sz w:val="15"/>
          <w:szCs w:val="15"/>
          <w:color w:val="auto"/>
        </w:rPr>
        <w:t>If any Holder of a beneficial interest in a Global Security proposes to exchange such beneficial interest for a Definitive Security or to transfer such beneficial interest to a Person who takes delivery thereof in the form of a Definitive Security in the event of the occurrence of any of the conditions set forth in the third paragraph of this Section 3.5, then, upon delivery to the Registrar of (i) an order from a Participant or an Indirect Participant given to the Depositary in accordance with the Applicable Procedures directing the Depositary to cause to be issued a Definitive Security in an amount equal to the beneficial interest to be transferred or exchanged and (ii) instructions given by the Depositary to the Registrar containing information regarding the Person in whose name such Definitive Security shall be registered to effect the transfer or exchange referred to in clause (i), the Trustee shall cause the aggregate principal amount of the applicable Global Security to be reduced accordingly as described below, and the Company shall execute and, upon receipt of a Company Order pursuant to Section 3.3, the Trustee shall authenticate and deliver to the Person designated in the instructions a Definitive Security in the appropriate principal amount. Any Definitive Security issued in exchange for a beneficial interest pursuant to this paragraph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w:t>
      </w:r>
    </w:p>
    <w:p>
      <w:pPr>
        <w:spacing w:after="0" w:line="161" w:lineRule="exact"/>
        <w:rPr>
          <w:sz w:val="20"/>
          <w:szCs w:val="20"/>
          <w:color w:val="auto"/>
        </w:rPr>
      </w:pPr>
    </w:p>
    <w:p>
      <w:pPr>
        <w:ind w:right="160" w:firstLine="549"/>
        <w:spacing w:after="0" w:line="272" w:lineRule="auto"/>
        <w:rPr>
          <w:sz w:val="20"/>
          <w:szCs w:val="20"/>
          <w:color w:val="auto"/>
        </w:rPr>
      </w:pPr>
      <w:r>
        <w:rPr>
          <w:rFonts w:ascii="Times New Roman" w:cs="Times New Roman" w:eastAsia="Times New Roman" w:hAnsi="Times New Roman"/>
          <w:sz w:val="15"/>
          <w:szCs w:val="15"/>
          <w:color w:val="auto"/>
        </w:rPr>
        <w:t>A Holder of a Definitive Security may exchange such Security for a beneficial interest in a Global Security or transfer such Definitive Securities to a Person who takes delivery thereof in the form of a beneficial interest in a Global Security at any time. Upon receipt of a request for such an exchange or transfer, the Trustee shall cancel the applicable Definitive Security and increase or cause to be increased the aggregate principal amount of the applicable Global Security.</w:t>
      </w:r>
    </w:p>
    <w:p>
      <w:pPr>
        <w:spacing w:after="0" w:line="146" w:lineRule="exact"/>
        <w:rPr>
          <w:sz w:val="20"/>
          <w:szCs w:val="20"/>
          <w:color w:val="auto"/>
        </w:rPr>
      </w:pPr>
    </w:p>
    <w:p>
      <w:pPr>
        <w:ind w:right="140" w:firstLine="549"/>
        <w:spacing w:after="0" w:line="272" w:lineRule="auto"/>
        <w:rPr>
          <w:sz w:val="20"/>
          <w:szCs w:val="20"/>
          <w:color w:val="auto"/>
        </w:rPr>
      </w:pPr>
      <w:r>
        <w:rPr>
          <w:rFonts w:ascii="Times New Roman" w:cs="Times New Roman" w:eastAsia="Times New Roman" w:hAnsi="Times New Roman"/>
          <w:sz w:val="15"/>
          <w:szCs w:val="15"/>
          <w:color w:val="auto"/>
        </w:rPr>
        <w:t>At the option of the Holder, Definitive Securities of any series may be exchanged for other Definitive Securities of the same series, of any authorized denominations and of like tenor and aggregate principal amount, upon surrender of the Definitive Securities to be exchanged at an Office or Agency. Whenever any Definitive Securities are so surrendered for exchange, the Company shall execute, and the Trustee shall authenticate and deliver, the Definitive Securities which the Holder making the exchange is entitled to receive.</w:t>
      </w:r>
    </w:p>
    <w:p>
      <w:pPr>
        <w:spacing w:after="0" w:line="146" w:lineRule="exact"/>
        <w:rPr>
          <w:sz w:val="20"/>
          <w:szCs w:val="20"/>
          <w:color w:val="auto"/>
        </w:rPr>
      </w:pPr>
    </w:p>
    <w:p>
      <w:pPr>
        <w:ind w:right="20" w:firstLine="549"/>
        <w:spacing w:after="0" w:line="263" w:lineRule="auto"/>
        <w:rPr>
          <w:sz w:val="20"/>
          <w:szCs w:val="20"/>
          <w:color w:val="auto"/>
        </w:rPr>
      </w:pPr>
      <w:r>
        <w:rPr>
          <w:rFonts w:ascii="Times New Roman" w:cs="Times New Roman" w:eastAsia="Times New Roman" w:hAnsi="Times New Roman"/>
          <w:sz w:val="15"/>
          <w:szCs w:val="15"/>
          <w:color w:val="auto"/>
        </w:rPr>
        <w:t>Upon request by a Holder of Definitive Securities and such Holder’s compliance with the provisions of this paragraph, the Registrar shall register the transfer or exchange of Definitive Securities. Prior to such registration of transfer or exchange, the requesting Holder shall present or surrender to the Registrar the Definitive Securities duly endorsed or accompanied by a written instruction of transfer in form satisfactory to the Registrar duly executed by such Holder or by its attorney, duly authorized in writing. A Holder of Definitive Securities may transfer such Securities to a Person who takes delivery thereof in the form of a Definitive Security. Upon receipt of a request to register such a transfer, the Registrar shall register the Definitive Securities pursuant to the instructions from the Holder thereof.</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31" w:name="page132"/>
    <w:bookmarkEnd w:id="131"/>
    <w:p>
      <w:pPr>
        <w:ind w:right="40" w:firstLine="549"/>
        <w:spacing w:after="0" w:line="259" w:lineRule="auto"/>
        <w:rPr>
          <w:sz w:val="20"/>
          <w:szCs w:val="20"/>
          <w:color w:val="auto"/>
        </w:rPr>
      </w:pPr>
      <w:r>
        <w:rPr>
          <w:rFonts w:ascii="Times New Roman" w:cs="Times New Roman" w:eastAsia="Times New Roman" w:hAnsi="Times New Roman"/>
          <w:sz w:val="15"/>
          <w:szCs w:val="15"/>
          <w:color w:val="auto"/>
        </w:rPr>
        <w:t>At such time as all beneficial interests in a particular Global Security have been exchanged for Definitive Securities or a particular Global Security has been redeemed, repurchased or cancelled in whole and not in part, each such Global Security shall be returned to or retained and cancelled by the Trustee in accordance with Section 3.9.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shall be reduced accordingly and an endorsement shall be made on such Global Security by the Trustee or by the Depositary at the direction of the Trustee to reflect such reduction; and if the beneficial interest is being exchanged for or transferred to a Person who will take delivery thereof in the form of a beneficial interest in another Global Security, the principal amount of Securities represented by such other Global Security shall be increased accordingly and an endorsement shall be made on such Global Security by the Trustee or by the Depositary at the direction of the Trustee to reflect such increase.</w:t>
      </w:r>
    </w:p>
    <w:p>
      <w:pPr>
        <w:spacing w:after="0" w:line="159" w:lineRule="exact"/>
        <w:rPr>
          <w:sz w:val="20"/>
          <w:szCs w:val="20"/>
          <w:color w:val="auto"/>
        </w:rPr>
      </w:pPr>
    </w:p>
    <w:p>
      <w:pPr>
        <w:ind w:right="240" w:firstLine="549"/>
        <w:spacing w:after="0" w:line="290" w:lineRule="auto"/>
        <w:rPr>
          <w:sz w:val="20"/>
          <w:szCs w:val="20"/>
          <w:color w:val="auto"/>
        </w:rPr>
      </w:pPr>
      <w:r>
        <w:rPr>
          <w:rFonts w:ascii="Times New Roman" w:cs="Times New Roman" w:eastAsia="Times New Roman" w:hAnsi="Times New Roman"/>
          <w:sz w:val="15"/>
          <w:szCs w:val="15"/>
          <w:color w:val="auto"/>
        </w:rPr>
        <w:t>All Securities issued upon any registration of transfer or exchange of Securities shall be the valid and legally binding obligations of the Company evidencing the same debt and entitling the Holders thereof to the same benefits under this Indenture as the Securities surrendered upon such registration of transfer or exchange.</w:t>
      </w:r>
    </w:p>
    <w:p>
      <w:pPr>
        <w:spacing w:after="0" w:line="133" w:lineRule="exact"/>
        <w:rPr>
          <w:sz w:val="20"/>
          <w:szCs w:val="20"/>
          <w:color w:val="auto"/>
        </w:rPr>
      </w:pPr>
    </w:p>
    <w:p>
      <w:pPr>
        <w:ind w:right="20" w:firstLine="549"/>
        <w:spacing w:after="0" w:line="272" w:lineRule="auto"/>
        <w:rPr>
          <w:sz w:val="20"/>
          <w:szCs w:val="20"/>
          <w:color w:val="auto"/>
        </w:rPr>
      </w:pPr>
      <w:r>
        <w:rPr>
          <w:rFonts w:ascii="Times New Roman" w:cs="Times New Roman" w:eastAsia="Times New Roman" w:hAnsi="Times New Roman"/>
          <w:sz w:val="15"/>
          <w:szCs w:val="15"/>
          <w:color w:val="auto"/>
        </w:rPr>
        <w:t>Every Registered Security presented or surrendered for registration of transfer or for exchange or redemption shall (if so required by the Company or the Security Registrar for such Security) be duly endorsed, signature guaranteed, or be accompanied by a written instrument of transfer in form satisfactory to the Company and the Security Registrar for such Security duly executed by the Holder thereof, signature guaranteed, or his or her attorney duly authorized in writing.</w:t>
      </w:r>
    </w:p>
    <w:p>
      <w:pPr>
        <w:spacing w:after="0" w:line="146" w:lineRule="exact"/>
        <w:rPr>
          <w:sz w:val="20"/>
          <w:szCs w:val="20"/>
          <w:color w:val="auto"/>
        </w:rPr>
      </w:pPr>
    </w:p>
    <w:p>
      <w:pPr>
        <w:ind w:right="160" w:firstLine="549"/>
        <w:spacing w:after="0" w:line="272" w:lineRule="auto"/>
        <w:rPr>
          <w:sz w:val="20"/>
          <w:szCs w:val="20"/>
          <w:color w:val="auto"/>
        </w:rPr>
      </w:pPr>
      <w:r>
        <w:rPr>
          <w:rFonts w:ascii="Times New Roman" w:cs="Times New Roman" w:eastAsia="Times New Roman" w:hAnsi="Times New Roman"/>
          <w:sz w:val="15"/>
          <w:szCs w:val="15"/>
          <w:color w:val="auto"/>
        </w:rPr>
        <w:t>No service charge shall be made for any registration of transfer or exchange, or redemption of Securities, but the Company may require payment of a sum sufficient to cover any tax or other governmental charge and any other expenses (including fees and expenses of the Trustee) that may be imposed in connection with any registration of transfer or exchange of Securities, other than exchanges pursuant to Sections 3.4, 3.6, 9.6 and 11.7 not involving any transfer.</w:t>
      </w:r>
    </w:p>
    <w:p>
      <w:pPr>
        <w:spacing w:after="0" w:line="146" w:lineRule="exact"/>
        <w:rPr>
          <w:sz w:val="20"/>
          <w:szCs w:val="20"/>
          <w:color w:val="auto"/>
        </w:rPr>
      </w:pPr>
    </w:p>
    <w:p>
      <w:pPr>
        <w:ind w:right="40" w:firstLine="549"/>
        <w:spacing w:after="0" w:line="263" w:lineRule="auto"/>
        <w:rPr>
          <w:sz w:val="20"/>
          <w:szCs w:val="20"/>
          <w:color w:val="auto"/>
        </w:rPr>
      </w:pPr>
      <w:r>
        <w:rPr>
          <w:rFonts w:ascii="Times New Roman" w:cs="Times New Roman" w:eastAsia="Times New Roman" w:hAnsi="Times New Roman"/>
          <w:sz w:val="15"/>
          <w:szCs w:val="15"/>
          <w:color w:val="auto"/>
        </w:rPr>
        <w:t>Except as otherwise provided in or pursuant to this Indenture, the Company shall not be required (i) to issue, register the transfer of or exchange any Securities during a period beginning at the opening of business 15 days before the day of selection of Securities of like tenor and the same series under Section 11.3 for redemption and ending at the close of business on the day of such selection, (ii) to register the transfer of or exchange any Registered Security so selected for redemption in whole or in part, except in the case of any Security to be redeemed in part, the portion thereof not to be redeemed, or (iii) to issue, register the transfer of or exchange any Security which, in accordance with its terms, has been surrendered for repayment or purchase at the option of the Holder, except the portion, if any, of such Security not to be so repaid.</w:t>
      </w:r>
    </w:p>
    <w:p>
      <w:pPr>
        <w:spacing w:after="0" w:line="15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The Registrar shall retain copies of all certificates, notices and other written communications received pursuant to this Section 3.5. The Company shall have the right to inspect and make copies of all such certificates, notices or other written communications at any reasonable time upon the giving of reasonable written notice to the Registrar.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32" w:name="page133"/>
    <w:bookmarkEnd w:id="132"/>
    <w:p>
      <w:pPr>
        <w:ind w:right="340" w:firstLine="549"/>
        <w:spacing w:after="0" w:line="290" w:lineRule="auto"/>
        <w:rPr>
          <w:sz w:val="20"/>
          <w:szCs w:val="20"/>
          <w:color w:val="auto"/>
        </w:rPr>
      </w:pPr>
      <w:r>
        <w:rPr>
          <w:rFonts w:ascii="Times New Roman" w:cs="Times New Roman" w:eastAsia="Times New Roman" w:hAnsi="Times New Roman"/>
          <w:sz w:val="15"/>
          <w:szCs w:val="15"/>
          <w:color w:val="auto"/>
        </w:rPr>
        <w:t>All certifications and certificates required to be submitted to the Registrar pursuant to this Section 3.5 to effect a registration of transfer or exchange may be submitted by facsimile, with an original of such document to be sent promptly thereafter.</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3.6 </w:t>
      </w:r>
      <w:r>
        <w:rPr>
          <w:rFonts w:ascii="Times New Roman" w:cs="Times New Roman" w:eastAsia="Times New Roman" w:hAnsi="Times New Roman"/>
          <w:sz w:val="15"/>
          <w:szCs w:val="15"/>
          <w:u w:val="single" w:color="auto"/>
          <w:color w:val="auto"/>
        </w:rPr>
        <w:t>Mutilated, Destroyed, Lost and Stolen Securities</w:t>
      </w:r>
    </w:p>
    <w:p>
      <w:pPr>
        <w:spacing w:after="0" w:line="19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If any mutilated Security is surrendered to the Trustee, subject to the provisions of this Section 3.6, the Company shall execute and the Trustee shall authenticate and deliver in exchange therefor a new Security of the same series containing identical terms and of like principal amount and bearing a number not contemporaneously outstanding.</w:t>
      </w:r>
    </w:p>
    <w:p>
      <w:pPr>
        <w:spacing w:after="0" w:line="133" w:lineRule="exact"/>
        <w:rPr>
          <w:sz w:val="20"/>
          <w:szCs w:val="20"/>
          <w:color w:val="auto"/>
        </w:rPr>
      </w:pPr>
    </w:p>
    <w:p>
      <w:pPr>
        <w:jc w:val="both"/>
        <w:ind w:right="140" w:firstLine="549"/>
        <w:spacing w:after="0" w:line="263" w:lineRule="auto"/>
        <w:rPr>
          <w:sz w:val="20"/>
          <w:szCs w:val="20"/>
          <w:color w:val="auto"/>
        </w:rPr>
      </w:pPr>
      <w:r>
        <w:rPr>
          <w:rFonts w:ascii="Times New Roman" w:cs="Times New Roman" w:eastAsia="Times New Roman" w:hAnsi="Times New Roman"/>
          <w:sz w:val="15"/>
          <w:szCs w:val="15"/>
          <w:color w:val="auto"/>
        </w:rPr>
        <w:t>If there be delivered to the Company and to the Trustee (i) evidence to their satisfaction of the destruction, loss or theft of any Security and (ii) such security or indemnity as may be required by them to save each of them and any agent of either of them harmless, then, in the absence of notice to the Company or to a Responsible Officer that such Security has been acquired by a “protected purchaser” (as such term is defined in the New York Uniform Commercial Code), the Company shall execute and, upon the Company’s request the Trustee shall authenticate and deliver, in exchange for or in lieu of any such destroyed, lost or stolen Security, a new Security of the same series containing identical terms and of like principal amount and bearing a number not contemporaneously outstanding.</w:t>
      </w:r>
    </w:p>
    <w:p>
      <w:pPr>
        <w:spacing w:after="0" w:line="154" w:lineRule="exact"/>
        <w:rPr>
          <w:sz w:val="20"/>
          <w:szCs w:val="20"/>
          <w:color w:val="auto"/>
        </w:rPr>
      </w:pPr>
    </w:p>
    <w:p>
      <w:pPr>
        <w:jc w:val="both"/>
        <w:ind w:right="140" w:firstLine="549"/>
        <w:spacing w:after="0" w:line="290" w:lineRule="auto"/>
        <w:rPr>
          <w:sz w:val="20"/>
          <w:szCs w:val="20"/>
          <w:color w:val="auto"/>
        </w:rPr>
      </w:pPr>
      <w:r>
        <w:rPr>
          <w:rFonts w:ascii="Times New Roman" w:cs="Times New Roman" w:eastAsia="Times New Roman" w:hAnsi="Times New Roman"/>
          <w:sz w:val="15"/>
          <w:szCs w:val="15"/>
          <w:color w:val="auto"/>
        </w:rPr>
        <w:t>Notwithstanding the foregoing provisions of this Section 3.6, in case any mutilated, destroyed, lost or stolen Security has become or is about to become due and payable, the Company in its discretion may, instead of issuing a new Security, pay such Security.</w:t>
      </w:r>
    </w:p>
    <w:p>
      <w:pPr>
        <w:spacing w:after="0" w:line="133" w:lineRule="exact"/>
        <w:rPr>
          <w:sz w:val="20"/>
          <w:szCs w:val="20"/>
          <w:color w:val="auto"/>
        </w:rPr>
      </w:pPr>
    </w:p>
    <w:p>
      <w:pPr>
        <w:ind w:right="180" w:firstLine="549"/>
        <w:spacing w:after="0" w:line="290" w:lineRule="auto"/>
        <w:rPr>
          <w:sz w:val="20"/>
          <w:szCs w:val="20"/>
          <w:color w:val="auto"/>
        </w:rPr>
      </w:pPr>
      <w:r>
        <w:rPr>
          <w:rFonts w:ascii="Times New Roman" w:cs="Times New Roman" w:eastAsia="Times New Roman" w:hAnsi="Times New Roman"/>
          <w:sz w:val="15"/>
          <w:szCs w:val="15"/>
          <w:color w:val="auto"/>
        </w:rPr>
        <w:t>Upon the issuance of any new Security under this Section 3.6, the Company may require the payment of a sum sufficient to cover any tax or other governmental charge that may be imposed in relation thereto and any other expenses (including the fees and expenses of the Trustee) connected therewith.</w:t>
      </w:r>
    </w:p>
    <w:p>
      <w:pPr>
        <w:spacing w:after="0" w:line="133"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Every new Security issued pursuant to this Section 3.6 in lieu of any destroyed, lost or stolen Security shall constitute a separate obligation of the Company, whether or not the destroyed, lost or stolen Security shall be at any time enforceable by anyone and shall be entitled to all the benefits of this Indenture equally and proportionately with any and all other Securities of such series duly issued hereunder.</w:t>
      </w:r>
    </w:p>
    <w:p>
      <w:pPr>
        <w:spacing w:after="0" w:line="146" w:lineRule="exact"/>
        <w:rPr>
          <w:sz w:val="20"/>
          <w:szCs w:val="20"/>
          <w:color w:val="auto"/>
        </w:rPr>
      </w:pPr>
    </w:p>
    <w:p>
      <w:pPr>
        <w:ind w:right="460" w:firstLine="549"/>
        <w:spacing w:after="0" w:line="290" w:lineRule="auto"/>
        <w:rPr>
          <w:sz w:val="20"/>
          <w:szCs w:val="20"/>
          <w:color w:val="auto"/>
        </w:rPr>
      </w:pPr>
      <w:r>
        <w:rPr>
          <w:rFonts w:ascii="Times New Roman" w:cs="Times New Roman" w:eastAsia="Times New Roman" w:hAnsi="Times New Roman"/>
          <w:sz w:val="15"/>
          <w:szCs w:val="15"/>
          <w:color w:val="auto"/>
        </w:rPr>
        <w:t>The provisions of this Section 3.6, as amended or supplemented pursuant to this Indenture with respect to particular Securities or generally, shall be exclusive and shall preclude (to the extent lawful) all other rights and remedies with respect to the replacement or payment of mutilated, destroyed, lost or stolen Securities.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33" w:name="page134"/>
    <w:bookmarkEnd w:id="133"/>
    <w:p>
      <w:pPr>
        <w:ind w:left="540"/>
        <w:spacing w:after="0"/>
        <w:rPr>
          <w:sz w:val="20"/>
          <w:szCs w:val="20"/>
          <w:color w:val="auto"/>
        </w:rPr>
      </w:pPr>
      <w:r>
        <w:rPr>
          <w:rFonts w:ascii="Times New Roman" w:cs="Times New Roman" w:eastAsia="Times New Roman" w:hAnsi="Times New Roman"/>
          <w:sz w:val="15"/>
          <w:szCs w:val="15"/>
          <w:color w:val="auto"/>
        </w:rPr>
        <w:t xml:space="preserve">Section 3.7 </w:t>
      </w:r>
      <w:r>
        <w:rPr>
          <w:rFonts w:ascii="Times New Roman" w:cs="Times New Roman" w:eastAsia="Times New Roman" w:hAnsi="Times New Roman"/>
          <w:sz w:val="15"/>
          <w:szCs w:val="15"/>
          <w:u w:val="single" w:color="auto"/>
          <w:color w:val="auto"/>
        </w:rPr>
        <w:t>Payment of Interest and Certain Additional Amounts; Rights to Interest and Certain Additional Amounts Preserved</w:t>
      </w:r>
    </w:p>
    <w:p>
      <w:pPr>
        <w:spacing w:after="0" w:line="194" w:lineRule="exact"/>
        <w:rPr>
          <w:sz w:val="20"/>
          <w:szCs w:val="20"/>
          <w:color w:val="auto"/>
        </w:rPr>
      </w:pPr>
    </w:p>
    <w:p>
      <w:pPr>
        <w:jc w:val="both"/>
        <w:ind w:right="60" w:firstLine="549"/>
        <w:spacing w:after="0" w:line="272" w:lineRule="auto"/>
        <w:rPr>
          <w:sz w:val="20"/>
          <w:szCs w:val="20"/>
          <w:color w:val="auto"/>
        </w:rPr>
      </w:pPr>
      <w:r>
        <w:rPr>
          <w:rFonts w:ascii="Times New Roman" w:cs="Times New Roman" w:eastAsia="Times New Roman" w:hAnsi="Times New Roman"/>
          <w:sz w:val="15"/>
          <w:szCs w:val="15"/>
          <w:color w:val="auto"/>
        </w:rPr>
        <w:t>Unless otherwise provided in or pursuant to this Indenture, any interest on and any Additional Amounts with respect to, any Registered Security that shall be payable, and are punctually paid or duly provided for, on any Interest Payment Date shall be paid to the Person in whose name such Security (or one or more Predecessor Securities) is registered as of the close of business on the Regular Record Date for such interest.</w:t>
      </w:r>
    </w:p>
    <w:p>
      <w:pPr>
        <w:spacing w:after="0" w:line="146"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Unless otherwise provided in or pursuant to this Indenture, any interest on and any Additional Amounts with respect to, any Registered Security that shall be payable, but shall not be punctually paid or duly provided for, on any Interest Payment Date for such Registered Security (herein called “</w:t>
      </w:r>
      <w:r>
        <w:rPr>
          <w:rFonts w:ascii="Times New Roman" w:cs="Times New Roman" w:eastAsia="Times New Roman" w:hAnsi="Times New Roman"/>
          <w:sz w:val="15"/>
          <w:szCs w:val="15"/>
          <w:u w:val="single" w:color="auto"/>
          <w:color w:val="auto"/>
        </w:rPr>
        <w:t>Defaulted Interest</w:t>
      </w:r>
      <w:r>
        <w:rPr>
          <w:rFonts w:ascii="Times New Roman" w:cs="Times New Roman" w:eastAsia="Times New Roman" w:hAnsi="Times New Roman"/>
          <w:sz w:val="15"/>
          <w:szCs w:val="15"/>
          <w:color w:val="auto"/>
        </w:rPr>
        <w:t>”) shall forthwith cease to be payable to the Holder thereof on the relevant Regular Record Date by virtue of having been such Holder; and such Defaulted Interest may be paid by the Company, at its election in each case, as provided in clause (1) or (2) below:</w:t>
      </w:r>
    </w:p>
    <w:p>
      <w:pPr>
        <w:spacing w:after="0" w:line="151" w:lineRule="exact"/>
        <w:rPr>
          <w:sz w:val="20"/>
          <w:szCs w:val="20"/>
          <w:color w:val="auto"/>
        </w:rPr>
      </w:pPr>
    </w:p>
    <w:p>
      <w:pPr>
        <w:ind w:firstLine="541"/>
        <w:spacing w:after="0" w:line="257" w:lineRule="auto"/>
        <w:tabs>
          <w:tab w:leader="none" w:pos="766"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may elect to make payment of any Defaulted Interest to the Person in whose name such Registered Security (or a Predecessor Security thereof) shall be registered at the close of business on a Special Record Date for the payment of such Defaulted Interest, which shall be fixed in the following manner. The Company shall notify the Trustee in writing of the amount of Defaulted Interest proposed to be paid on such Registered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so deposited to be held in trust for the benefit of the Person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in the manner provided in Section 1.6, not less than 10 days prior to such Special Record Date. The Trustee may, in its discretion, in the name and at the expense of the Company, cause a similar notice to be published at least once in an Authorized Newspaper of general circulation in the Borough of Manhattan, The City of New York, but such publication shall not be a condition precedent to the establishment of such Special Record Date. Notice of the proposed payment of such Defaulted Interest and the Special Record Date therefor having been so given, such Defaulted Interest shall be paid to the Person in whose name such Registered Security (or a Predecessor Security thereof) shall be registered at the close of business on such Special Record Date and shall no longer be payable pursuant to the following clause (2).</w:t>
      </w:r>
    </w:p>
    <w:p>
      <w:pPr>
        <w:spacing w:after="0" w:line="163" w:lineRule="exact"/>
        <w:rPr>
          <w:rFonts w:ascii="Times New Roman" w:cs="Times New Roman" w:eastAsia="Times New Roman" w:hAnsi="Times New Roman"/>
          <w:sz w:val="15"/>
          <w:szCs w:val="15"/>
          <w:color w:val="auto"/>
        </w:rPr>
      </w:pPr>
    </w:p>
    <w:p>
      <w:pPr>
        <w:ind w:right="180" w:firstLine="541"/>
        <w:spacing w:after="0" w:line="272" w:lineRule="auto"/>
        <w:tabs>
          <w:tab w:leader="none" w:pos="766"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may make payment of any Defaulted Interest in any other lawful manner not inconsistent with the requirements of any securities exchange on which such Security may be listed, and upon such notice as may be required by such exchange, if, after notice given by the Company to the Trustee of the proposed payment pursuant to this clause, such payment shall be deemed practicable by the Trustee.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34" w:name="page135"/>
    <w:bookmarkEnd w:id="134"/>
    <w:p>
      <w:pPr>
        <w:ind w:right="140" w:firstLine="549"/>
        <w:spacing w:after="0" w:line="263" w:lineRule="auto"/>
        <w:rPr>
          <w:sz w:val="20"/>
          <w:szCs w:val="20"/>
          <w:color w:val="auto"/>
        </w:rPr>
      </w:pPr>
      <w:r>
        <w:rPr>
          <w:rFonts w:ascii="Times New Roman" w:cs="Times New Roman" w:eastAsia="Times New Roman" w:hAnsi="Times New Roman"/>
          <w:sz w:val="15"/>
          <w:szCs w:val="15"/>
          <w:color w:val="auto"/>
        </w:rPr>
        <w:t>Unless otherwise provided in or pursuant to this Indenture or the Securities of any particular series pursuant to the provisions of this Indenture, at the option of the Company, interest on Registered Securities that bear interest may be paid by wire transfer in immediately available funds if the Holder of the Registered Security has provided to the Company and the Trustee wire instructions at least five Business Days prior to the applicable payment date or by check mailed to the address of that Holder as it appears on the books of the Securities Registrar if that Holder has not provided wire instructions; provided that any payment of principal (or premium, if any) in respect of any Security will be made only upon presentation and surrender of such Security at the applicable Office or Agency.</w:t>
      </w:r>
    </w:p>
    <w:p>
      <w:pPr>
        <w:spacing w:after="0" w:line="154" w:lineRule="exact"/>
        <w:rPr>
          <w:sz w:val="20"/>
          <w:szCs w:val="20"/>
          <w:color w:val="auto"/>
        </w:rPr>
      </w:pPr>
    </w:p>
    <w:p>
      <w:pPr>
        <w:ind w:firstLine="549"/>
        <w:spacing w:after="0" w:line="290" w:lineRule="auto"/>
        <w:rPr>
          <w:sz w:val="20"/>
          <w:szCs w:val="20"/>
          <w:color w:val="auto"/>
        </w:rPr>
      </w:pPr>
      <w:r>
        <w:rPr>
          <w:rFonts w:ascii="Times New Roman" w:cs="Times New Roman" w:eastAsia="Times New Roman" w:hAnsi="Times New Roman"/>
          <w:sz w:val="15"/>
          <w:szCs w:val="15"/>
          <w:color w:val="auto"/>
        </w:rPr>
        <w:t>Subject to the foregoing provisions of this Section 3.7 and Section 3.5,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33" w:lineRule="exact"/>
        <w:rPr>
          <w:sz w:val="20"/>
          <w:szCs w:val="20"/>
          <w:color w:val="auto"/>
        </w:rPr>
      </w:pPr>
    </w:p>
    <w:p>
      <w:pPr>
        <w:ind w:right="60" w:firstLine="549"/>
        <w:spacing w:after="0" w:line="261" w:lineRule="auto"/>
        <w:rPr>
          <w:sz w:val="20"/>
          <w:szCs w:val="20"/>
          <w:color w:val="auto"/>
        </w:rPr>
      </w:pPr>
      <w:r>
        <w:rPr>
          <w:rFonts w:ascii="Times New Roman" w:cs="Times New Roman" w:eastAsia="Times New Roman" w:hAnsi="Times New Roman"/>
          <w:sz w:val="15"/>
          <w:szCs w:val="15"/>
          <w:color w:val="auto"/>
        </w:rPr>
        <w:t>In the case of any Registered Security of any series that is convertible, which Registered Security is converted after any Regular Record Date and on or prior to the immediately succeeding Interest Payment Date (other than any Registered Security with respect to which the Maturity is prior to such Interest Payment Date), interest on such Interest Payment Date shall be payable on such Interest Payment Date notwithstanding such conversion, and such interest (whether or not punctually paid or duly provided for) shall be paid to the Person in whose name that Registered Security (or one or more predecessor Registered Securities) is registered at the close of business on such Regular Record Date. Except as otherwise expressly provided in the immediately preceding sentence, in the case of any Registered Security which is converted, interest with respect to which the Stated Maturity is after the date of conversion of such Registered Security shall not be payable.</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3.8 </w:t>
      </w:r>
      <w:r>
        <w:rPr>
          <w:rFonts w:ascii="Times New Roman" w:cs="Times New Roman" w:eastAsia="Times New Roman" w:hAnsi="Times New Roman"/>
          <w:sz w:val="15"/>
          <w:szCs w:val="15"/>
          <w:u w:val="single" w:color="auto"/>
          <w:color w:val="auto"/>
        </w:rPr>
        <w:t>Persons Deemed Owners</w:t>
      </w:r>
    </w:p>
    <w:p>
      <w:pPr>
        <w:spacing w:after="0" w:line="194" w:lineRule="exact"/>
        <w:rPr>
          <w:sz w:val="20"/>
          <w:szCs w:val="20"/>
          <w:color w:val="auto"/>
        </w:rPr>
      </w:pPr>
    </w:p>
    <w:p>
      <w:pPr>
        <w:ind w:right="20" w:firstLine="549"/>
        <w:spacing w:after="0" w:line="263" w:lineRule="auto"/>
        <w:rPr>
          <w:sz w:val="20"/>
          <w:szCs w:val="20"/>
          <w:color w:val="auto"/>
        </w:rPr>
      </w:pPr>
      <w:r>
        <w:rPr>
          <w:rFonts w:ascii="Times New Roman" w:cs="Times New Roman" w:eastAsia="Times New Roman" w:hAnsi="Times New Roman"/>
          <w:sz w:val="15"/>
          <w:szCs w:val="15"/>
          <w:color w:val="auto"/>
        </w:rPr>
        <w:t>Prior to due presentment of a Registered Security for registration of transfer, the Company, the Trustee and any agent of the Company or the Trustee may treat the Person in whose name such Registered Security is registered in the Security Register as the owner of such Registered Security for the purpose of receiving payment of principal of, any premium and (subject to Section 3.5 and Section 3.7) interest on and any Additional Amounts with respect to, such Registered Security and for all other purposes whatsoever, whether or not any payment with respect to such Registered Security shall be overdue, and none of the Company, the Trustee or any agent of the Company or the Trustee shall be affected by notice to the contrary.</w:t>
      </w:r>
    </w:p>
    <w:p>
      <w:pPr>
        <w:spacing w:after="0" w:line="154" w:lineRule="exact"/>
        <w:rPr>
          <w:sz w:val="20"/>
          <w:szCs w:val="20"/>
          <w:color w:val="auto"/>
        </w:rPr>
      </w:pPr>
    </w:p>
    <w:p>
      <w:pPr>
        <w:ind w:right="80" w:firstLine="549"/>
        <w:spacing w:after="0" w:line="266" w:lineRule="auto"/>
        <w:rPr>
          <w:sz w:val="20"/>
          <w:szCs w:val="20"/>
          <w:color w:val="auto"/>
        </w:rPr>
      </w:pPr>
      <w:r>
        <w:rPr>
          <w:rFonts w:ascii="Times New Roman" w:cs="Times New Roman" w:eastAsia="Times New Roman" w:hAnsi="Times New Roman"/>
          <w:sz w:val="15"/>
          <w:szCs w:val="15"/>
          <w:color w:val="auto"/>
        </w:rPr>
        <w:t>No holder of any beneficial interest in any Global Security held on its behalf by a Depositary shall have any rights under this Indenture with respect to such Global Security, and such Depositary may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35" w:name="page136"/>
    <w:bookmarkEnd w:id="135"/>
    <w:p>
      <w:pPr>
        <w:ind w:left="540"/>
        <w:spacing w:after="0"/>
        <w:rPr>
          <w:sz w:val="20"/>
          <w:szCs w:val="20"/>
          <w:color w:val="auto"/>
        </w:rPr>
      </w:pPr>
      <w:r>
        <w:rPr>
          <w:rFonts w:ascii="Times New Roman" w:cs="Times New Roman" w:eastAsia="Times New Roman" w:hAnsi="Times New Roman"/>
          <w:sz w:val="15"/>
          <w:szCs w:val="15"/>
          <w:color w:val="auto"/>
        </w:rPr>
        <w:t xml:space="preserve">Section 3.9 </w:t>
      </w:r>
      <w:r>
        <w:rPr>
          <w:rFonts w:ascii="Times New Roman" w:cs="Times New Roman" w:eastAsia="Times New Roman" w:hAnsi="Times New Roman"/>
          <w:sz w:val="15"/>
          <w:szCs w:val="15"/>
          <w:u w:val="single" w:color="auto"/>
          <w:color w:val="auto"/>
        </w:rPr>
        <w:t>Cancellation</w:t>
      </w:r>
    </w:p>
    <w:p>
      <w:pPr>
        <w:spacing w:after="0" w:line="194"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15"/>
          <w:szCs w:val="15"/>
          <w:color w:val="auto"/>
        </w:rPr>
        <w:t>All Securities surrendered for payment, redemption, registration of transfer, exchange or conversion or for credit against any sinking fund payment shall, if surrendered to any Person other than the Trustee, be delivered to the Trustee, and any such Securities, as well as Securities surrendered directly to the Trustee for any such purpose, shall be cancelled promptly by the Trustee. The Company may at any time deliver to the Trustee for cancellation any Securities previously authenticated and delivered hereunder which the Company may have acquired in any manner whatsoever, and all Securities so delivered shall be cancelled promptly by the Trustee. No Securities shall be authenticated in lieu of or in exchange for any Securities cancelled as provided in this Section 3.9, except as expressly permitted by or pursuant to this Indenture. All cancelled Securities held by the Trustee shall be disposed of by the Trustee in accordance with its customary procedures.</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3.10 </w:t>
      </w:r>
      <w:r>
        <w:rPr>
          <w:rFonts w:ascii="Times New Roman" w:cs="Times New Roman" w:eastAsia="Times New Roman" w:hAnsi="Times New Roman"/>
          <w:sz w:val="15"/>
          <w:szCs w:val="15"/>
          <w:u w:val="single" w:color="auto"/>
          <w:color w:val="auto"/>
        </w:rPr>
        <w:t>Computation of Interest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Except as otherwise provided in or pursuant to this Indenture, or in any Security, interest on the Securities shall be computed on the basis of a 360-day year of twelve 30-day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months.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3.11 </w:t>
      </w:r>
      <w:r>
        <w:rPr>
          <w:rFonts w:ascii="Times New Roman" w:cs="Times New Roman" w:eastAsia="Times New Roman" w:hAnsi="Times New Roman"/>
          <w:sz w:val="15"/>
          <w:szCs w:val="15"/>
          <w:u w:val="single" w:color="auto"/>
          <w:color w:val="auto"/>
        </w:rPr>
        <w:t>CUSIP and ISIN Numbers</w:t>
      </w:r>
    </w:p>
    <w:p>
      <w:pPr>
        <w:spacing w:after="0" w:line="194" w:lineRule="exact"/>
        <w:rPr>
          <w:sz w:val="20"/>
          <w:szCs w:val="20"/>
          <w:color w:val="auto"/>
        </w:rPr>
      </w:pPr>
    </w:p>
    <w:p>
      <w:pPr>
        <w:ind w:right="160" w:firstLine="549"/>
        <w:spacing w:after="0" w:line="266" w:lineRule="auto"/>
        <w:rPr>
          <w:sz w:val="20"/>
          <w:szCs w:val="20"/>
          <w:color w:val="auto"/>
        </w:rPr>
      </w:pPr>
      <w:r>
        <w:rPr>
          <w:rFonts w:ascii="Times New Roman" w:cs="Times New Roman" w:eastAsia="Times New Roman" w:hAnsi="Times New Roman"/>
          <w:sz w:val="15"/>
          <w:szCs w:val="15"/>
          <w:color w:val="auto"/>
        </w:rPr>
        <w:t>The Company in issuing the Securities may use “CUSIP” and “ISIN” numbers (if then generally in use), and, if so, the Trustee shall use CUSIP and ISIN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and ISIN numbers.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SATISFACTION AND DISCHARGE OF INDENTURE</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4.1 </w:t>
      </w:r>
      <w:r>
        <w:rPr>
          <w:rFonts w:ascii="Times New Roman" w:cs="Times New Roman" w:eastAsia="Times New Roman" w:hAnsi="Times New Roman"/>
          <w:sz w:val="15"/>
          <w:szCs w:val="15"/>
          <w:u w:val="single" w:color="auto"/>
          <w:color w:val="auto"/>
        </w:rPr>
        <w:t>Satisfaction and Discharge</w:t>
      </w:r>
    </w:p>
    <w:p>
      <w:pPr>
        <w:spacing w:after="0" w:line="194"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Upon the direction of the Company by a Company Order, this Indenture shall cease to be of further effect with respect to any series of Securities specified in such Company Order and the Trustee, on receipt of a Company Order, at the expense of the Company, shall execute proper instruments acknowledging satisfaction and discharge of this Indenture as to such series, when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36" w:name="page137"/>
    <w:bookmarkEnd w:id="136"/>
    <w:p>
      <w:pPr>
        <w:ind w:left="768" w:hanging="219"/>
        <w:spacing w:after="0"/>
        <w:tabs>
          <w:tab w:leader="none" w:pos="768"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w:t>
      </w:r>
    </w:p>
    <w:p>
      <w:pPr>
        <w:spacing w:after="0" w:line="193" w:lineRule="exact"/>
        <w:rPr>
          <w:rFonts w:ascii="Times New Roman" w:cs="Times New Roman" w:eastAsia="Times New Roman" w:hAnsi="Times New Roman"/>
          <w:sz w:val="15"/>
          <w:szCs w:val="15"/>
          <w:color w:val="auto"/>
        </w:rPr>
      </w:pPr>
    </w:p>
    <w:p>
      <w:pPr>
        <w:ind w:left="8" w:right="60" w:firstLine="1091"/>
        <w:spacing w:after="0" w:line="272" w:lineRule="auto"/>
        <w:tabs>
          <w:tab w:leader="none" w:pos="1315"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Securities of such series theretofore authenticated and delivered have been delivered to the Trustee for cancellation (other than (i) Securities of such series that have been destroyed, lost or stolen and have been replaced or paid as provided in Section 3.6 and (ii) Securities of such series the payment of money for which has theretofore been deposited in trust or segregated and held in trust by the Company and thereafter repaid to the Company or discharged from such trust, as provided in Section 10.3); or</w:t>
      </w:r>
    </w:p>
    <w:p>
      <w:pPr>
        <w:spacing w:after="0" w:line="146" w:lineRule="exact"/>
        <w:rPr>
          <w:rFonts w:ascii="Times New Roman" w:cs="Times New Roman" w:eastAsia="Times New Roman" w:hAnsi="Times New Roman"/>
          <w:sz w:val="15"/>
          <w:szCs w:val="15"/>
          <w:color w:val="auto"/>
        </w:rPr>
      </w:pPr>
    </w:p>
    <w:p>
      <w:pPr>
        <w:ind w:left="1308" w:hanging="209"/>
        <w:spacing w:after="0"/>
        <w:tabs>
          <w:tab w:leader="none" w:pos="1308"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Securities of such series not theretofore delivered to the Trustee for cancellation:</w:t>
      </w:r>
    </w:p>
    <w:p>
      <w:pPr>
        <w:spacing w:after="0" w:line="193" w:lineRule="exact"/>
        <w:rPr>
          <w:rFonts w:ascii="Times New Roman" w:cs="Times New Roman" w:eastAsia="Times New Roman" w:hAnsi="Times New Roman"/>
          <w:sz w:val="15"/>
          <w:szCs w:val="15"/>
          <w:color w:val="auto"/>
        </w:rPr>
      </w:pPr>
    </w:p>
    <w:p>
      <w:pPr>
        <w:ind w:left="1828" w:hanging="180"/>
        <w:spacing w:after="0"/>
        <w:tabs>
          <w:tab w:leader="none" w:pos="1828" w:val="left"/>
        </w:tabs>
        <w:numPr>
          <w:ilvl w:val="2"/>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become due and payable, or</w:t>
      </w:r>
    </w:p>
    <w:p>
      <w:pPr>
        <w:spacing w:after="0" w:line="193" w:lineRule="exact"/>
        <w:rPr>
          <w:rFonts w:ascii="Times New Roman" w:cs="Times New Roman" w:eastAsia="Times New Roman" w:hAnsi="Times New Roman"/>
          <w:sz w:val="15"/>
          <w:szCs w:val="15"/>
          <w:color w:val="auto"/>
        </w:rPr>
      </w:pPr>
    </w:p>
    <w:p>
      <w:pPr>
        <w:ind w:left="1868" w:hanging="220"/>
        <w:spacing w:after="0"/>
        <w:tabs>
          <w:tab w:leader="none" w:pos="1868" w:val="left"/>
        </w:tabs>
        <w:numPr>
          <w:ilvl w:val="2"/>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will become due and payable at their Stated Maturity within one year, or</w:t>
      </w:r>
    </w:p>
    <w:p>
      <w:pPr>
        <w:spacing w:after="0" w:line="193" w:lineRule="exact"/>
        <w:rPr>
          <w:rFonts w:ascii="Times New Roman" w:cs="Times New Roman" w:eastAsia="Times New Roman" w:hAnsi="Times New Roman"/>
          <w:sz w:val="15"/>
          <w:szCs w:val="15"/>
          <w:color w:val="auto"/>
        </w:rPr>
      </w:pPr>
    </w:p>
    <w:p>
      <w:pPr>
        <w:ind w:left="8" w:firstLine="1640"/>
        <w:spacing w:after="0" w:line="290" w:lineRule="auto"/>
        <w:tabs>
          <w:tab w:leader="none" w:pos="1924" w:val="left"/>
        </w:tabs>
        <w:numPr>
          <w:ilvl w:val="2"/>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and the Company, in the case of (i), (ii) or (iii) above, has deposited or caused to be deposited with the Trustee as trust funds in trust for such purpose, (x) money in an amount or</w:t>
      </w:r>
    </w:p>
    <w:p>
      <w:pPr>
        <w:spacing w:after="0" w:line="25" w:lineRule="exact"/>
        <w:rPr>
          <w:sz w:val="20"/>
          <w:szCs w:val="20"/>
          <w:color w:val="auto"/>
        </w:rPr>
      </w:pPr>
    </w:p>
    <w:p>
      <w:pPr>
        <w:ind w:left="8" w:right="80" w:hanging="8"/>
        <w:spacing w:after="0" w:line="257" w:lineRule="auto"/>
        <w:tabs>
          <w:tab w:leader="none" w:pos="224"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 Obligations that through the payment of interest and principal in respect thereof in accordance with their terms will provide, not later than one day before the due date of any payment, in the opinion of a nationally recognized Independent Registered Public Accounting Firm or investment bank expressed in a written certification thereof delivered to the Trustee, money in the amount, or (z) a combination of (x) and (y) in an amount in the Currency in which such series of Securities are payable sufficient to pay and discharge the entire indebtedness on such Securities not theretofore delivered to the Trustee for cancellation, including the principal of, any premium and interest on, and any Additional Amounts with respect to such Securities then determinable, to the date of such deposit (in the case of Securities which have become due and payable) or to the Maturity or the Redemption Date thereof, as the case may be;</w:t>
      </w:r>
    </w:p>
    <w:p>
      <w:pPr>
        <w:spacing w:after="0" w:line="159" w:lineRule="exact"/>
        <w:rPr>
          <w:rFonts w:ascii="Times New Roman" w:cs="Times New Roman" w:eastAsia="Times New Roman" w:hAnsi="Times New Roman"/>
          <w:sz w:val="15"/>
          <w:szCs w:val="15"/>
          <w:color w:val="auto"/>
        </w:rPr>
      </w:pPr>
    </w:p>
    <w:p>
      <w:pPr>
        <w:ind w:left="768" w:hanging="219"/>
        <w:spacing w:after="0"/>
        <w:tabs>
          <w:tab w:leader="none" w:pos="768"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paid or caused to be paid all other sums payable hereunder by the Company with respect to the Outstanding Securities of such series; and</w:t>
      </w:r>
    </w:p>
    <w:p>
      <w:pPr>
        <w:spacing w:after="0" w:line="193" w:lineRule="exact"/>
        <w:rPr>
          <w:rFonts w:ascii="Times New Roman" w:cs="Times New Roman" w:eastAsia="Times New Roman" w:hAnsi="Times New Roman"/>
          <w:sz w:val="15"/>
          <w:szCs w:val="15"/>
          <w:color w:val="auto"/>
        </w:rPr>
      </w:pPr>
    </w:p>
    <w:p>
      <w:pPr>
        <w:ind w:left="8" w:right="140" w:firstLine="541"/>
        <w:spacing w:after="0" w:line="290" w:lineRule="auto"/>
        <w:tabs>
          <w:tab w:leader="none" w:pos="774" w:val="left"/>
        </w:tabs>
        <w:numPr>
          <w:ilvl w:val="1"/>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33" w:lineRule="exact"/>
        <w:rPr>
          <w:sz w:val="20"/>
          <w:szCs w:val="20"/>
          <w:color w:val="auto"/>
        </w:rPr>
      </w:pPr>
    </w:p>
    <w:p>
      <w:pPr>
        <w:ind w:left="8" w:right="420" w:firstLine="549"/>
        <w:spacing w:after="0" w:line="290" w:lineRule="auto"/>
        <w:rPr>
          <w:sz w:val="20"/>
          <w:szCs w:val="20"/>
          <w:color w:val="auto"/>
        </w:rPr>
      </w:pPr>
      <w:r>
        <w:rPr>
          <w:rFonts w:ascii="Times New Roman" w:cs="Times New Roman" w:eastAsia="Times New Roman" w:hAnsi="Times New Roman"/>
          <w:sz w:val="15"/>
          <w:szCs w:val="15"/>
          <w:color w:val="auto"/>
        </w:rPr>
        <w:t>In the event there are Securities of two or more series hereunder, the Trustee shall be required to execute an instrument acknowledging satisfaction and discharge of this Indenture only if requested to do so with respect to Securities of such series as to which it is Trustee and if the other conditions thereto are met.</w:t>
      </w:r>
    </w:p>
    <w:p>
      <w:pPr>
        <w:spacing w:after="0" w:line="133" w:lineRule="exact"/>
        <w:rPr>
          <w:sz w:val="20"/>
          <w:szCs w:val="20"/>
          <w:color w:val="auto"/>
        </w:rPr>
      </w:pPr>
    </w:p>
    <w:p>
      <w:pPr>
        <w:ind w:left="8" w:right="40" w:firstLine="549"/>
        <w:spacing w:after="0" w:line="265" w:lineRule="auto"/>
        <w:rPr>
          <w:sz w:val="20"/>
          <w:szCs w:val="20"/>
          <w:color w:val="auto"/>
        </w:rPr>
      </w:pPr>
      <w:r>
        <w:rPr>
          <w:rFonts w:ascii="Times New Roman" w:cs="Times New Roman" w:eastAsia="Times New Roman" w:hAnsi="Times New Roman"/>
          <w:sz w:val="15"/>
          <w:szCs w:val="15"/>
          <w:color w:val="auto"/>
        </w:rPr>
        <w:t>Notwithstanding the satisfaction and discharge of this Indenture with respect to any series of Securities, the obligations of the Company to the Trustee under Section 6.7, the obligations of the Trustee under Section 4.3, if money, Government Obligations or a combination thereof shall have been deposited with the Trustee pursuant to subclause (b) of clause</w:t>
      </w:r>
    </w:p>
    <w:p>
      <w:pPr>
        <w:ind w:left="208" w:hanging="208"/>
        <w:spacing w:after="0"/>
        <w:tabs>
          <w:tab w:leader="none" w:pos="208"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this Section 4.1, the obligations of the Company and the Trustee with respect to the Securities of such series under Section 3.4, Section 3.5, Section 3.6, Section 10.2 and Section</w:t>
      </w:r>
    </w:p>
    <w:p>
      <w:pPr>
        <w:spacing w:after="0" w:line="10" w:lineRule="exact"/>
        <w:rPr>
          <w:rFonts w:ascii="Times New Roman" w:cs="Times New Roman" w:eastAsia="Times New Roman" w:hAnsi="Times New Roman"/>
          <w:sz w:val="15"/>
          <w:szCs w:val="15"/>
          <w:color w:val="auto"/>
        </w:rPr>
      </w:pPr>
    </w:p>
    <w:p>
      <w:pPr>
        <w:ind w:left="8"/>
        <w:spacing w:after="0" w:line="26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10.3, and the obligations of the Company with respect to the payment of Additional Amounts, if any, with respect to such Securities as contemplated by Section 10.4 (but only to the extent that the Additional Amounts payable with respect to such Securities exceed the amount deposited in respect of such Additional Amounts pursuant to Section 4.1(1)(b)), and with respect to any rights to convert or exchange such Securities into Common Stock or other securities, cash or other property shall survive such satisfaction and discharge.</w:t>
      </w:r>
    </w:p>
    <w:p>
      <w:pPr>
        <w:spacing w:after="0" w:line="153"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u w:val="single" w:color="auto"/>
          <w:color w:val="auto"/>
        </w:rPr>
        <w:t>Defeasance and Covenant Defeasance</w:t>
      </w:r>
    </w:p>
    <w:p>
      <w:pPr>
        <w:spacing w:after="0" w:line="194" w:lineRule="exact"/>
        <w:rPr>
          <w:sz w:val="20"/>
          <w:szCs w:val="20"/>
          <w:color w:val="auto"/>
        </w:rPr>
      </w:pPr>
    </w:p>
    <w:p>
      <w:pPr>
        <w:ind w:left="8" w:right="60" w:firstLine="541"/>
        <w:spacing w:after="0" w:line="263" w:lineRule="auto"/>
        <w:tabs>
          <w:tab w:leader="none" w:pos="774"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pursuant to Section 3.1, either or both of (i) defeasance of the Securities of a series under clause (2) of this Section 4.2 shall not be applicable with respect to the Securities of such series or (ii) covenant defeasance of the Securities of a series under clause (3) of this Section 4.2 shall not be applicable with respect to the Securities of such series, then such provisions, together with the other provisions of this Section 4.2 (with such modifications thereto as may be specified pursuant to Section 3.1 with respect to any Securities), shall be applicable to such Securities, and the Company may at its option by Board Resolution, at any time, with respect to such Securities, elect to have Section 4.2(2) or Section 4.2(3) be applied to such Outstanding Securities upon compliance with the conditions set forth below in this Section 4.2.</w:t>
      </w:r>
    </w:p>
    <w:p>
      <w:pPr>
        <w:spacing w:after="0" w:line="33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8"/>
          </w:cols>
          <w:pgMar w:left="312" w:top="789" w:right="359" w:bottom="1440" w:gutter="0" w:footer="0" w:header="0"/>
        </w:sectPr>
      </w:pPr>
    </w:p>
    <w:bookmarkStart w:id="137" w:name="page138"/>
    <w:bookmarkEnd w:id="137"/>
    <w:p>
      <w:pPr>
        <w:ind w:left="8" w:right="60" w:firstLine="541"/>
        <w:spacing w:after="0" w:line="257" w:lineRule="auto"/>
        <w:tabs>
          <w:tab w:leader="none" w:pos="774" w:val="left"/>
        </w:tabs>
        <w:numPr>
          <w:ilvl w:val="1"/>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Company’s exercise of the above option applicable to this Section 4.2(2) with respect to any Securities of or within a series, the Company shall be deemed to have been discharged from its obligations with respect to such Outstanding Securities on the date the conditions set forth in clause (4) of this Section 4.2 are satisfied (hereinafter, “</w:t>
      </w:r>
      <w:r>
        <w:rPr>
          <w:rFonts w:ascii="Times New Roman" w:cs="Times New Roman" w:eastAsia="Times New Roman" w:hAnsi="Times New Roman"/>
          <w:sz w:val="15"/>
          <w:szCs w:val="15"/>
          <w:u w:val="single" w:color="auto"/>
          <w:color w:val="auto"/>
        </w:rPr>
        <w:t>defeasance</w:t>
      </w:r>
      <w:r>
        <w:rPr>
          <w:rFonts w:ascii="Times New Roman" w:cs="Times New Roman" w:eastAsia="Times New Roman" w:hAnsi="Times New Roman"/>
          <w:sz w:val="15"/>
          <w:szCs w:val="15"/>
          <w:color w:val="auto"/>
        </w:rPr>
        <w:t>”). For this purpose, such defeasance means that the Company shall be deemed to have paid and discharged the entire indebtedness represented by such Outstanding Securities, which shall thereafter be deemed to be “Outstanding” only for the purposes of the Sections of this Indenture referred to in clauses (i) and (ii) below, and to have satisfied all of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(i) the rights of Holders of such Outstanding Securities to receive, solely from the trust fund described in clause (4) of this Section 4.2 and as more fully set forth in such Section, payments in respect of the principal of (and premium, if any) and interest, if any, on, and Additional Amounts, if any, with respect to, such Securities when such payments are due, and any rights of such Holder to convert or exchange such Securities into Common Stock or other securities, cash or other property, (ii) the obligations of the Company and the Trustee with respect to such Securities under Section 3.4, Section 3.5, Section 3.6, Section 10.2 and Section 10.3 and the obligations of the Company with respect to the payment of Additional Amounts, if any, on such Securities as contemplated by Section 10.4 (but only to the extent that the Additional Amounts payable with respect to such Securities exceed the amount deposited in respect of such Additional Amounts pursuant to Section 4.2(4)(a) below), and with respect to any rights to convert or exchange such Securities into Common Stock or other securities, cash or other property, (iii) the rights, powers, trusts, duties and immunities of the Trustee hereunder and (iv) this Section 4.2. The Company may exercise its option under this Section 4.2(2) notwithstanding the prior exercise of its option under clause (3) of this Section 4.2 with respect to such Securities.</w:t>
      </w:r>
    </w:p>
    <w:p>
      <w:pPr>
        <w:spacing w:after="0" w:line="161" w:lineRule="exact"/>
        <w:rPr>
          <w:rFonts w:ascii="Times New Roman" w:cs="Times New Roman" w:eastAsia="Times New Roman" w:hAnsi="Times New Roman"/>
          <w:sz w:val="15"/>
          <w:szCs w:val="15"/>
          <w:color w:val="auto"/>
        </w:rPr>
      </w:pPr>
    </w:p>
    <w:p>
      <w:pPr>
        <w:ind w:left="8" w:firstLine="541"/>
        <w:spacing w:after="0" w:line="257" w:lineRule="auto"/>
        <w:tabs>
          <w:tab w:leader="none" w:pos="774" w:val="left"/>
        </w:tabs>
        <w:numPr>
          <w:ilvl w:val="1"/>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Company’s exercise of the above option applicable to this Section 4.2(3) with respect to any Securities of or within a series, (i) the Company shall be released from its obligations to comply with any term, provision or condition under Section 8.1 with respect to such Securities (and, to the extent specified pursuant to Section 3.1, any other restrictive covenant added for the benefit of such Securities) and (ii) unless otherwise specified pursuant to Section 3.1, the occurrence of any event specified in Section 5.1(7) shall not be deemed to be an Event of Default, in each case on and after the date the conditions set forth in clause (4) of this Section 4.2 are satisfied (hereinafter, “</w:t>
      </w:r>
      <w:r>
        <w:rPr>
          <w:rFonts w:ascii="Times New Roman" w:cs="Times New Roman" w:eastAsia="Times New Roman" w:hAnsi="Times New Roman"/>
          <w:sz w:val="15"/>
          <w:szCs w:val="15"/>
          <w:u w:val="single" w:color="auto"/>
          <w:color w:val="auto"/>
        </w:rPr>
        <w:t>covenant defeasance</w:t>
      </w:r>
      <w:r>
        <w:rPr>
          <w:rFonts w:ascii="Times New Roman" w:cs="Times New Roman" w:eastAsia="Times New Roman" w:hAnsi="Times New Roman"/>
          <w:sz w:val="15"/>
          <w:szCs w:val="15"/>
          <w:color w:val="auto"/>
        </w:rPr>
        <w:t>”), and such Securities shall thereafter be deemed to be not “Outstanding” for the purposes of any direction, waiver, consent or declaration or Act of Holders (and the consequences of any thereof) in connection with any such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covenant, whether directly or indirectly, by reason of any reference elsewhere herein to any covenant or by reason of reference in any such covenant to any other provision herein or in any other document and such omission to comply shall not constitute a default or an Event of Default under Section 5.1(4), Section 5.1(7) or otherwise, as the case may be, insofar as it relates to Section 8.1 and, to the extent specified pursuant to Section 3.1, any other restrictive covenant added for the benefit of such Security, but, except as specified above, the remainder of this Indenture and such Securities shall be unaffected thereby; provided that the obligations of the Company with respect to the payment of Additional Amounts, if any, on such Securities as contemplated by Section 10.4 shall remain unsatisfied only to the extent that the Additional Amounts payable with respect to such Securities exceed the amount deposited in respect of such Additional Amounts pursuant to Section 4.2(4)(a) below; provided, further, that notwithstanding a covenant defeasance with respect to Section 8.1, any Person to whom a sale, assignment, transfer, lease, conveyance or other disposition is made pursuant to Section 8.1, shall as a condition to such sale, assignment, transfer, lease, conveyance or other disposition, assume by an indenture supplemental hereto in form satisfactory to the Trustee, executed by such successor Person and delivered to the Trustee, the obligations of the Company to the Trustee under Section 6.7 and the second to the last paragraph of this Section 4.2.</w:t>
      </w:r>
    </w:p>
    <w:p>
      <w:pPr>
        <w:spacing w:after="0" w:line="158" w:lineRule="exact"/>
        <w:rPr>
          <w:rFonts w:ascii="Times New Roman" w:cs="Times New Roman" w:eastAsia="Times New Roman" w:hAnsi="Times New Roman"/>
          <w:sz w:val="15"/>
          <w:szCs w:val="15"/>
          <w:color w:val="auto"/>
        </w:rPr>
      </w:pPr>
    </w:p>
    <w:p>
      <w:pPr>
        <w:ind w:left="768" w:hanging="219"/>
        <w:spacing w:after="0"/>
        <w:tabs>
          <w:tab w:leader="none" w:pos="768" w:val="left"/>
        </w:tabs>
        <w:numPr>
          <w:ilvl w:val="1"/>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following shall be the conditions to the application of clause (2) or (3) of this Section 4.2 to any Outstanding Securities of a series:</w:t>
      </w:r>
    </w:p>
    <w:p>
      <w:pPr>
        <w:spacing w:after="0" w:line="193" w:lineRule="exact"/>
        <w:rPr>
          <w:rFonts w:ascii="Times New Roman" w:cs="Times New Roman" w:eastAsia="Times New Roman" w:hAnsi="Times New Roman"/>
          <w:sz w:val="15"/>
          <w:szCs w:val="15"/>
          <w:color w:val="auto"/>
        </w:rPr>
      </w:pPr>
    </w:p>
    <w:p>
      <w:pPr>
        <w:ind w:left="8" w:firstLine="1091"/>
        <w:spacing w:after="0" w:line="257" w:lineRule="auto"/>
        <w:tabs>
          <w:tab w:leader="none" w:pos="1315" w:val="left"/>
        </w:tabs>
        <w:numPr>
          <w:ilvl w:val="2"/>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irrevocably have deposited or caused to be deposited with the Trustee (or another trustee satisfying the requirements of Section 6.8 who shall agree to comply with the provisions of this Section 4.2 applicable to it) as trust funds in trust for the purpose of making the following payments, specifically pledged as security for, and dedicated solely to, the benefit of the Holders of such Securities, (1) an amount in Dollars or in such Foreign Currency in which such Securities are then specified as payable at Stated Maturity, or (2)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money in an amount, or (3) a combination thereof, in any case, in an amount, sufficient, without consideration of any reinvestment of such principal and interest, in the opinion of a nationally recognized Independent Registered Public Accounting Firm or investment bank expressed in a written certification thereof delivered to the Trustee, to pay and discharge, and which shall be applied by the Trustee (or other qualifying trustee) to pay and discharge,</w:t>
      </w:r>
    </w:p>
    <w:p>
      <w:pPr>
        <w:spacing w:after="0" w:line="2" w:lineRule="exact"/>
        <w:rPr>
          <w:rFonts w:ascii="Times New Roman" w:cs="Times New Roman" w:eastAsia="Times New Roman" w:hAnsi="Times New Roman"/>
          <w:sz w:val="15"/>
          <w:szCs w:val="15"/>
          <w:color w:val="auto"/>
        </w:rPr>
      </w:pPr>
    </w:p>
    <w:p>
      <w:pPr>
        <w:ind w:left="8" w:right="120" w:hanging="8"/>
        <w:spacing w:after="0" w:line="259" w:lineRule="auto"/>
        <w:tabs>
          <w:tab w:leader="none" w:pos="224"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principal of (and premium, if any) and interest or Additional Amounts then determinable, if any, on such Outstanding Securities at the Maturity of such principal or installment of principal or interest, provided that the Company shall specify whether such Outstanding Securities are being defeased to Stated Maturity or to the Redemption Date and (z) any mandatory sinking fund payments or analogous payments applicable to such Outstanding Securities on the day on which such payments are due and payable in accordance with the terms of this Indenture and of such Securities.</w:t>
      </w:r>
    </w:p>
    <w:p>
      <w:pPr>
        <w:spacing w:after="0" w:line="34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8"/>
          </w:cols>
          <w:pgMar w:left="312" w:top="789" w:right="339" w:bottom="1440" w:gutter="0" w:footer="0" w:header="0"/>
        </w:sectPr>
      </w:pPr>
    </w:p>
    <w:bookmarkStart w:id="138" w:name="page139"/>
    <w:bookmarkEnd w:id="138"/>
    <w:p>
      <w:pPr>
        <w:ind w:right="40" w:firstLine="1091"/>
        <w:spacing w:after="0" w:line="290" w:lineRule="auto"/>
        <w:tabs>
          <w:tab w:leader="none" w:pos="1315"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132" w:lineRule="exact"/>
        <w:rPr>
          <w:rFonts w:ascii="Times New Roman" w:cs="Times New Roman" w:eastAsia="Times New Roman" w:hAnsi="Times New Roman"/>
          <w:sz w:val="15"/>
          <w:szCs w:val="15"/>
          <w:color w:val="auto"/>
        </w:rPr>
      </w:pPr>
    </w:p>
    <w:p>
      <w:pPr>
        <w:jc w:val="both"/>
        <w:ind w:right="80" w:firstLine="1091"/>
        <w:spacing w:after="0" w:line="272" w:lineRule="auto"/>
        <w:tabs>
          <w:tab w:leader="none" w:pos="1306"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Event of Default or event that, with notice or lapse of time or both, would become an Event of Default with respect to such Securities shall have occurred and be continuing on the date of such deposit (other than an Event of Default resulting from non-compliance with any covenant from which the Company is released upon effectiveness of such defeasance or covenant defeasance, as applicable).</w:t>
      </w:r>
    </w:p>
    <w:p>
      <w:pPr>
        <w:spacing w:after="0" w:line="146"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election under clause (2) of this Section 4.2, the Company shall have delivered to the Trustee an Opinion of Counsel stating that:</w:t>
      </w:r>
    </w:p>
    <w:p>
      <w:pPr>
        <w:spacing w:after="0" w:line="193" w:lineRule="exact"/>
        <w:rPr>
          <w:rFonts w:ascii="Times New Roman" w:cs="Times New Roman" w:eastAsia="Times New Roman" w:hAnsi="Times New Roman"/>
          <w:sz w:val="15"/>
          <w:szCs w:val="15"/>
          <w:color w:val="auto"/>
        </w:rPr>
      </w:pPr>
    </w:p>
    <w:p>
      <w:pPr>
        <w:ind w:left="1820" w:hanging="180"/>
        <w:spacing w:after="0"/>
        <w:tabs>
          <w:tab w:leader="none" w:pos="1820" w:val="left"/>
        </w:tabs>
        <w:numPr>
          <w:ilvl w:val="1"/>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received from the Internal Revenue Service a letter ruling, or there has been published by the Internal Revenue Service a Revenue</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Ruling, or</w:t>
      </w:r>
    </w:p>
    <w:p>
      <w:pPr>
        <w:spacing w:after="0" w:line="179" w:lineRule="exact"/>
        <w:rPr>
          <w:rFonts w:ascii="Times New Roman" w:cs="Times New Roman" w:eastAsia="Times New Roman" w:hAnsi="Times New Roman"/>
          <w:sz w:val="15"/>
          <w:szCs w:val="15"/>
          <w:color w:val="auto"/>
        </w:rPr>
      </w:pPr>
    </w:p>
    <w:p>
      <w:pPr>
        <w:ind w:left="1860" w:hanging="220"/>
        <w:spacing w:after="0"/>
        <w:tabs>
          <w:tab w:leader="none" w:pos="1860" w:val="left"/>
        </w:tabs>
        <w:numPr>
          <w:ilvl w:val="1"/>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the date of execution of this Indenture, there has been a change in the applicable federal income tax law,</w:t>
      </w:r>
    </w:p>
    <w:p>
      <w:pPr>
        <w:spacing w:after="0" w:line="194" w:lineRule="exact"/>
        <w:rPr>
          <w:sz w:val="20"/>
          <w:szCs w:val="20"/>
          <w:color w:val="auto"/>
        </w:rPr>
      </w:pPr>
    </w:p>
    <w:p>
      <w:pPr>
        <w:ind w:right="60" w:firstLine="1099"/>
        <w:spacing w:after="0" w:line="272" w:lineRule="auto"/>
        <w:rPr>
          <w:sz w:val="20"/>
          <w:szCs w:val="20"/>
          <w:color w:val="auto"/>
        </w:rPr>
      </w:pPr>
      <w:r>
        <w:rPr>
          <w:rFonts w:ascii="Times New Roman" w:cs="Times New Roman" w:eastAsia="Times New Roman" w:hAnsi="Times New Roman"/>
          <w:sz w:val="15"/>
          <w:szCs w:val="15"/>
          <w:color w:val="auto"/>
        </w:rPr>
        <w:t>in either case to the effect that, and based thereon such opinion shall confirm that, subject to customary assumptions and exclusions,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146" w:lineRule="exact"/>
        <w:rPr>
          <w:sz w:val="20"/>
          <w:szCs w:val="20"/>
          <w:color w:val="auto"/>
        </w:rPr>
      </w:pPr>
    </w:p>
    <w:p>
      <w:pPr>
        <w:jc w:val="both"/>
        <w:ind w:right="80" w:firstLine="1091"/>
        <w:spacing w:after="0" w:line="266" w:lineRule="auto"/>
        <w:tabs>
          <w:tab w:leader="none" w:pos="1306"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election under clause (3) of this Section 4.2, the Company shall have delivered to the Trustee an Opinion of Counsel to the effect that, subject to customary assumptions and exclusions,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51" w:lineRule="exact"/>
        <w:rPr>
          <w:rFonts w:ascii="Times New Roman" w:cs="Times New Roman" w:eastAsia="Times New Roman" w:hAnsi="Times New Roman"/>
          <w:sz w:val="15"/>
          <w:szCs w:val="15"/>
          <w:color w:val="auto"/>
        </w:rPr>
      </w:pPr>
    </w:p>
    <w:p>
      <w:pPr>
        <w:ind w:firstLine="1091"/>
        <w:spacing w:after="0" w:line="290" w:lineRule="auto"/>
        <w:tabs>
          <w:tab w:leader="none" w:pos="1290"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have delivered to the Trustee an Officer’s Certificate and an Opinion of Counsel, each stating that all conditions precedent to the defeasance or covenant defeasance under clause (2) or (3) of this Section 4.2 (as the case may be) have been complied with.</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39" w:name="page140"/>
    <w:bookmarkEnd w:id="139"/>
    <w:p>
      <w:pPr>
        <w:ind w:right="380" w:firstLine="1091"/>
        <w:spacing w:after="0" w:line="290" w:lineRule="auto"/>
        <w:tabs>
          <w:tab w:leader="none" w:pos="1315"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Securities are to be redeemed prior to their Stated Maturity (other than from mandatory sinking fund payments or analogous payments), notice of such redemption shall have been duly given pursuant to this Indenture or provision therefor satisfactory to the Trustee shall have been made.</w:t>
      </w:r>
    </w:p>
    <w:p>
      <w:pPr>
        <w:spacing w:after="0" w:line="132" w:lineRule="exact"/>
        <w:rPr>
          <w:rFonts w:ascii="Times New Roman" w:cs="Times New Roman" w:eastAsia="Times New Roman" w:hAnsi="Times New Roman"/>
          <w:sz w:val="15"/>
          <w:szCs w:val="15"/>
          <w:color w:val="auto"/>
        </w:rPr>
      </w:pPr>
    </w:p>
    <w:p>
      <w:pPr>
        <w:ind w:right="460" w:firstLine="1091"/>
        <w:spacing w:after="0" w:line="290" w:lineRule="auto"/>
        <w:tabs>
          <w:tab w:leader="none" w:pos="1315"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provisions of this Section 4.2(4), such defeasance or covenant defeasance shall be effected in compliance with any additional or substitute terms, conditions or limitations which may be imposed on the Company in connection therewith pursuant to Section 3.1.</w:t>
      </w:r>
    </w:p>
    <w:p>
      <w:pPr>
        <w:spacing w:after="0" w:line="133" w:lineRule="exact"/>
        <w:rPr>
          <w:sz w:val="20"/>
          <w:szCs w:val="20"/>
          <w:color w:val="auto"/>
        </w:rPr>
      </w:pPr>
    </w:p>
    <w:p>
      <w:pPr>
        <w:ind w:right="80" w:firstLine="549"/>
        <w:spacing w:after="0" w:line="272" w:lineRule="auto"/>
        <w:rPr>
          <w:sz w:val="20"/>
          <w:szCs w:val="20"/>
          <w:color w:val="auto"/>
        </w:rPr>
      </w:pPr>
      <w:r>
        <w:rPr>
          <w:rFonts w:ascii="Times New Roman" w:cs="Times New Roman" w:eastAsia="Times New Roman" w:hAnsi="Times New Roman"/>
          <w:sz w:val="15"/>
          <w:szCs w:val="15"/>
          <w:color w:val="auto"/>
        </w:rPr>
        <w:t>The Company shall pay and indemnify the Trustee against any tax, fee or other charge, imposed on or assessed against the Government Obligations deposited pursuant to this Section 4.2 or the principal or interest received in respect thereof other than any such tax, fee or other charge which by law is for the account of the Holders of such Outstanding Securities.</w:t>
      </w:r>
    </w:p>
    <w:p>
      <w:pPr>
        <w:spacing w:after="0" w:line="146" w:lineRule="exact"/>
        <w:rPr>
          <w:sz w:val="20"/>
          <w:szCs w:val="20"/>
          <w:color w:val="auto"/>
        </w:rPr>
      </w:pPr>
    </w:p>
    <w:p>
      <w:pPr>
        <w:ind w:right="360" w:firstLine="549"/>
        <w:spacing w:after="0" w:line="266" w:lineRule="auto"/>
        <w:rPr>
          <w:sz w:val="20"/>
          <w:szCs w:val="20"/>
          <w:color w:val="auto"/>
        </w:rPr>
      </w:pPr>
      <w:r>
        <w:rPr>
          <w:rFonts w:ascii="Times New Roman" w:cs="Times New Roman" w:eastAsia="Times New Roman" w:hAnsi="Times New Roman"/>
          <w:sz w:val="15"/>
          <w:szCs w:val="15"/>
          <w:color w:val="auto"/>
        </w:rPr>
        <w:t>Anything in this Section 4.2 to the contrary notwithstanding, the Trustee shall deliver or pay to the Company from time to time upon Company Request any money or Government Obligations (or other property and any proceeds therefrom) held by it as provided in clause (4) of this Section 4.2 which, in the opinion of a nationally recognized Independent Registered Public Accounting Firm or investment bank expressed in a written certification thereof delivered to the Trustee, are in excess of the amount thereof which would then be required to be deposited to effect a defeasance or covenant defeasance, as applicable, in accordance with this Section 4.2.</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4.3 </w:t>
      </w:r>
      <w:r>
        <w:rPr>
          <w:rFonts w:ascii="Times New Roman" w:cs="Times New Roman" w:eastAsia="Times New Roman" w:hAnsi="Times New Roman"/>
          <w:sz w:val="15"/>
          <w:szCs w:val="15"/>
          <w:u w:val="single" w:color="auto"/>
          <w:color w:val="auto"/>
        </w:rPr>
        <w:t>Application of Trust Money</w:t>
      </w:r>
    </w:p>
    <w:p>
      <w:pPr>
        <w:spacing w:after="0" w:line="194" w:lineRule="exact"/>
        <w:rPr>
          <w:sz w:val="20"/>
          <w:szCs w:val="20"/>
          <w:color w:val="auto"/>
        </w:rPr>
      </w:pPr>
    </w:p>
    <w:p>
      <w:pPr>
        <w:ind w:right="180" w:firstLine="549"/>
        <w:spacing w:after="0" w:line="261" w:lineRule="auto"/>
        <w:rPr>
          <w:sz w:val="20"/>
          <w:szCs w:val="20"/>
          <w:color w:val="auto"/>
        </w:rPr>
      </w:pPr>
      <w:r>
        <w:rPr>
          <w:rFonts w:ascii="Times New Roman" w:cs="Times New Roman" w:eastAsia="Times New Roman" w:hAnsi="Times New Roman"/>
          <w:sz w:val="15"/>
          <w:szCs w:val="15"/>
          <w:color w:val="auto"/>
        </w:rPr>
        <w:t>Subject to the provisions of the last paragraph of Section 10.3, all money and Government Obligations (including the proceeds thereof) deposited with the Trustee or other qualifying trustee (solely for purposes of this Section 4.3, the Trustee and any such other trustee are referred to collectively as the “Trustee”) pursuant to Section 4.1 or Section 4.2 in respect of any Outstanding Securities of any series shall be held in trust and applied by the Trustee, in accordance with the provisions of the Securities and this Indenture, to the payment, either directly or through any Paying Agent (including the Company acting as its own Paying Agent) as the Trustee may determine, to the Persons entitled thereto, of the principal, premium, if any, interest and Additional Amounts, if any, for whose payment such money has or Government Obligations have been deposited with or received by the Trustee; but such money and Government Obligations need not be segregated from other funds except to the extent required by law.</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4.4 </w:t>
      </w:r>
      <w:r>
        <w:rPr>
          <w:rFonts w:ascii="Times New Roman" w:cs="Times New Roman" w:eastAsia="Times New Roman" w:hAnsi="Times New Roman"/>
          <w:sz w:val="15"/>
          <w:szCs w:val="15"/>
          <w:u w:val="single" w:color="auto"/>
          <w:color w:val="auto"/>
        </w:rPr>
        <w:t>Qualifying Trustee</w:t>
      </w:r>
    </w:p>
    <w:p>
      <w:pPr>
        <w:spacing w:after="0" w:line="194"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Any trustee appointed pursuant to Section 4.2 for the purpose of holding trust funds deposited pursuant to that Section shall be appointed under an agreement in form acceptable to the Trustee and shall provide to the Trustee a certificate of such trustee, upon which certificate the Trustee shall be entitled to conclusively rely, that all conditions precedent provided for herein to the related defeasance or covenant defeasance have been complied with. In no event shall the Trustee be liable for any acts or omissions of said trustee.</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40" w:name="page141"/>
    <w:bookmarkEnd w:id="140"/>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ARTICLE 5</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REMEDIES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5.1 </w:t>
      </w:r>
      <w:r>
        <w:rPr>
          <w:rFonts w:ascii="Times New Roman" w:cs="Times New Roman" w:eastAsia="Times New Roman" w:hAnsi="Times New Roman"/>
          <w:sz w:val="15"/>
          <w:szCs w:val="15"/>
          <w:u w:val="single" w:color="auto"/>
          <w:color w:val="auto"/>
        </w:rPr>
        <w:t>Events of Default</w:t>
      </w:r>
    </w:p>
    <w:p>
      <w:pPr>
        <w:spacing w:after="0" w:line="194" w:lineRule="exact"/>
        <w:rPr>
          <w:sz w:val="20"/>
          <w:szCs w:val="20"/>
          <w:color w:val="auto"/>
        </w:rPr>
      </w:pPr>
    </w:p>
    <w:p>
      <w:pPr>
        <w:ind w:right="160" w:firstLine="549"/>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Event of Default</w:t>
      </w:r>
      <w:r>
        <w:rPr>
          <w:rFonts w:ascii="Times New Roman" w:cs="Times New Roman" w:eastAsia="Times New Roman" w:hAnsi="Times New Roman"/>
          <w:sz w:val="15"/>
          <w:szCs w:val="15"/>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the supplemental indenture, Board Resolution or Officer’s Certificate establishing the terms of such series pursuant to this Indenture:</w:t>
      </w:r>
    </w:p>
    <w:p>
      <w:pPr>
        <w:spacing w:after="0" w:line="151" w:lineRule="exact"/>
        <w:rPr>
          <w:sz w:val="20"/>
          <w:szCs w:val="20"/>
          <w:color w:val="auto"/>
        </w:rPr>
      </w:pPr>
    </w:p>
    <w:p>
      <w:pPr>
        <w:ind w:left="760" w:hanging="219"/>
        <w:spacing w:after="0"/>
        <w:tabs>
          <w:tab w:leader="none" w:pos="76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for 30 days in the payment when due of any interest on or any Additional Amount in respect of any Security of such series;</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payment of the principal of or any premium on any Security of such series when the principal or premium becomes due and payable at Maturity;</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in the deposit of any sinking fund payment when and as due by the terms of any Security of such series, subject to any cure period specified in any Security of such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series;</w:t>
      </w:r>
    </w:p>
    <w:p>
      <w:pPr>
        <w:spacing w:after="0" w:line="179" w:lineRule="exact"/>
        <w:rPr>
          <w:sz w:val="20"/>
          <w:szCs w:val="20"/>
          <w:color w:val="auto"/>
        </w:rPr>
      </w:pPr>
    </w:p>
    <w:p>
      <w:pPr>
        <w:ind w:right="20" w:firstLine="541"/>
        <w:spacing w:after="0" w:line="259" w:lineRule="auto"/>
        <w:tabs>
          <w:tab w:leader="none" w:pos="766"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on the part of the Company duly to observe or perform any other of the covenants or agreements (other than those described in clause (1), (2) or (3) above) on the part of the Company with respect to that series contained in such Securities or otherwise established with respect to that series of Securities pursuant to Section 3.1 hereof or contained in this Indenture (other than a covenant or agreement that has been expressly included in this Indenture solely for the benefit of one or more series of Securities other than such series) and such failure shall continue for a period of 60 days after the date on which written notice of such failure, requiring the same to be remedied and stating that such notice is a “Notice of Default” shall have been given to the Company by the Trustee, upon direction of Holders of at least 25% in principal amount of the Outstanding Securities of that series; provided, however, that if such failure is not capable of cure within such 60-day period, such 60-day period shall be automatically extended by an additional 60 days so long as (i) such failure is subject to cure, and (ii) the Company is using commercially reasonable efforts to cure such failure; and provided, further, that a failure to comply with any such other agreement in this Indenture that results from a change in GAAP shall not be deemed to be an Event of Default;</w:t>
      </w:r>
    </w:p>
    <w:p>
      <w:pPr>
        <w:spacing w:after="0" w:line="159" w:lineRule="exact"/>
        <w:rPr>
          <w:rFonts w:ascii="Times New Roman" w:cs="Times New Roman" w:eastAsia="Times New Roman" w:hAnsi="Times New Roman"/>
          <w:sz w:val="15"/>
          <w:szCs w:val="15"/>
          <w:color w:val="auto"/>
        </w:rPr>
      </w:pPr>
    </w:p>
    <w:p>
      <w:pPr>
        <w:ind w:right="40" w:firstLine="541"/>
        <w:spacing w:after="0" w:line="260" w:lineRule="auto"/>
        <w:tabs>
          <w:tab w:leader="none" w:pos="766"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decree or order by a court having jurisdiction in the premises shall have been entered adjudging the Company bankrupt or insolvent, or approving as properly filed a petition seeking liquidation or reorganization of the Company under any applicable bankruptcy, insolvency, reorganization or other similar law, and such decree or order shall have continued unvacated and unstayed for a period of 90 days; an involuntary case shall be commenced under any applicable bankruptcy, insolvency, reorganization or other similar law in respect of the Company and shall continue undismissed for a period of 90 days or an order for relief in such case shall have been entered and such order shall have remained in force unvacated and unstayed for a period of 90 days; or a decree or order of a court having jurisdiction in the premises shall have been entered for the appointment on the ground of insolvency or bankruptcy of a receiver, custodian, liquidator, trustee or assignee in bankruptcy or insolvency of the Company or of its property, or for the winding up or liquidation of its affairs, and such decree or order shall have remained in force unvacated and unstayed for a period of 90 days;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5" w:right="379" w:bottom="1440" w:gutter="0" w:footer="0" w:header="0"/>
        </w:sectPr>
      </w:pPr>
    </w:p>
    <w:bookmarkStart w:id="141" w:name="page142"/>
    <w:bookmarkEnd w:id="141"/>
    <w:p>
      <w:pPr>
        <w:ind w:right="80" w:firstLine="541"/>
        <w:spacing w:after="0" w:line="266" w:lineRule="auto"/>
        <w:tabs>
          <w:tab w:leader="none" w:pos="766"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institute proceedings to be adjudicated a voluntary bankrupt, shall consent to the filing of a bankruptcy proceeding against it, shall file a petition or answer or consent seeking liquidation or reorganization under any applicable bankruptcy, insolvency, reorganization or other similar law, shall consent to the filing of any such petition or shall consent to the appointment on the ground of insolvency or bankruptcy of a receiver or custodian or liquidator or trustee or assignee in bankruptcy or insolvency of it or of its property, or shall make a general assignment for the benefit of creditors; or</w:t>
      </w:r>
    </w:p>
    <w:p>
      <w:pPr>
        <w:spacing w:after="0" w:line="151" w:lineRule="exact"/>
        <w:rPr>
          <w:rFonts w:ascii="Times New Roman" w:cs="Times New Roman" w:eastAsia="Times New Roman" w:hAnsi="Times New Roman"/>
          <w:sz w:val="15"/>
          <w:szCs w:val="15"/>
          <w:color w:val="auto"/>
        </w:rPr>
      </w:pPr>
    </w:p>
    <w:p>
      <w:pPr>
        <w:ind w:right="400" w:firstLine="541"/>
        <w:spacing w:after="0" w:line="290" w:lineRule="auto"/>
        <w:tabs>
          <w:tab w:leader="none" w:pos="766"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other Event of Default provided in or pursuant to the Indenture with respect to Securities of the series, provided that any such Event of Default that results from a change in GAAP shall not be deemed to be an Event of Default.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5.2 </w:t>
      </w:r>
      <w:r>
        <w:rPr>
          <w:rFonts w:ascii="Times New Roman" w:cs="Times New Roman" w:eastAsia="Times New Roman" w:hAnsi="Times New Roman"/>
          <w:sz w:val="15"/>
          <w:szCs w:val="15"/>
          <w:u w:val="single" w:color="auto"/>
          <w:color w:val="auto"/>
        </w:rPr>
        <w:t>Acceleration of Maturity; Rescission and Annulment</w:t>
      </w:r>
    </w:p>
    <w:p>
      <w:pPr>
        <w:spacing w:after="0" w:line="194" w:lineRule="exact"/>
        <w:rPr>
          <w:sz w:val="20"/>
          <w:szCs w:val="20"/>
          <w:color w:val="auto"/>
        </w:rPr>
      </w:pPr>
    </w:p>
    <w:p>
      <w:pPr>
        <w:ind w:right="20" w:firstLine="549"/>
        <w:spacing w:after="0" w:line="259" w:lineRule="auto"/>
        <w:rPr>
          <w:sz w:val="20"/>
          <w:szCs w:val="20"/>
          <w:color w:val="auto"/>
        </w:rPr>
      </w:pPr>
      <w:r>
        <w:rPr>
          <w:rFonts w:ascii="Times New Roman" w:cs="Times New Roman" w:eastAsia="Times New Roman" w:hAnsi="Times New Roman"/>
          <w:sz w:val="15"/>
          <w:szCs w:val="15"/>
          <w:color w:val="auto"/>
        </w:rPr>
        <w:t>If an Event of Default specified in clause (5) or (6) of the definition thereof above occurs, the principal of all Securities shall automatically become due and payable without further action or notice, anything contained in this Indenture or the Securities of each series or established with respect to each series pursuant to Section 3.1 to the contrary notwithstanding. If (a) upon the occurrence and continuance of an Event of Default specified in clause (1) or (2) of the definition thereof, the Company and the Trustee receive notice in writing that Holders of not less than 25% in aggregate principal amount of the Outstanding Securities of that series, or (b) upon the occurrence and continuance of any other Event of Default other than an Event of Default specified in clause (1), (2), (5) and (6) of the definition thereof, the Company and the Trustee receive notice in writing that Holders of not less than a majority in aggregate principal amount of the Outstanding Securities of that series have declared the principal (or, in the case of discounted Securities, the amount specified in the terms thereof) of all Securities of that series to be due and payable immediately, then upon any such declaration the same shall become and shall be immediately due and payable, anything contained in this Indenture or in the Securities of that series or established with respect to that series to the contrary notwithstanding.</w:t>
      </w:r>
    </w:p>
    <w:p>
      <w:pPr>
        <w:spacing w:after="0" w:line="159"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At any time after a declaration of acceleration or automatic acceleration with respect to the Securities of any series has been made and before a judgment or decree for payment of the money due has been obtained by the Trustee as hereafter in this Article 5 provided, the Holders of not less than a majority in principal amount of the Outstanding Securities of such series, by written notice to the Company and the Trustee, may rescind and annul the declaration or automatic acceleration and its consequences if:</w:t>
      </w:r>
    </w:p>
    <w:p>
      <w:pPr>
        <w:spacing w:after="0" w:line="146" w:lineRule="exact"/>
        <w:rPr>
          <w:sz w:val="20"/>
          <w:szCs w:val="20"/>
          <w:color w:val="auto"/>
        </w:rPr>
      </w:pPr>
    </w:p>
    <w:p>
      <w:pPr>
        <w:ind w:right="100" w:firstLine="541"/>
        <w:spacing w:after="0" w:line="263" w:lineRule="auto"/>
        <w:tabs>
          <w:tab w:leader="none" w:pos="766"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paid or deposited with the Trustee a sum of money sufficient to pay (A) all overdue installments of interest on all Securities of such series and any Additional Amounts payable with respect thereto, (B) the principal of and any premium on any Securities of the series which have become due otherwise than by the declaration of acceleration or automatic acceleration and interest thereon and any Additional Amounts with respect thereto at the rate or rates borne by or provided in such Securities, (C) interest upon overdue interest at the rate or rates prescribed therefor in such Securities and (D) all sums paid or advanced by the Trustee hereunder and the reasonable compensation, expenses, disbursements and advances of the Trustee, its agents and counsel; and</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2" w:name="page143"/>
    <w:bookmarkEnd w:id="142"/>
    <w:p>
      <w:pPr>
        <w:ind w:right="220" w:firstLine="541"/>
        <w:spacing w:after="0" w:line="290" w:lineRule="auto"/>
        <w:tabs>
          <w:tab w:leader="none" w:pos="766"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Events of Default with respect to Securities of such series, other than the non-payment of the principal of, any premium and interest on, and any Additional Amounts with respect to, Securities of such series which shall have become due solely by the acceleration, shall have been cured or waived as provided in Section 5.3.</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5.3 </w:t>
      </w:r>
      <w:r>
        <w:rPr>
          <w:rFonts w:ascii="Times New Roman" w:cs="Times New Roman" w:eastAsia="Times New Roman" w:hAnsi="Times New Roman"/>
          <w:sz w:val="15"/>
          <w:szCs w:val="15"/>
          <w:u w:val="single" w:color="auto"/>
          <w:color w:val="auto"/>
        </w:rPr>
        <w:t>Collection of Indebtedness and Suits for Enforcement by Trustee</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covenants that if:</w:t>
      </w:r>
    </w:p>
    <w:p>
      <w:pPr>
        <w:spacing w:after="0" w:line="194" w:lineRule="exact"/>
        <w:rPr>
          <w:sz w:val="20"/>
          <w:szCs w:val="20"/>
          <w:color w:val="auto"/>
        </w:rPr>
      </w:pPr>
    </w:p>
    <w:p>
      <w:pPr>
        <w:ind w:right="260" w:firstLine="541"/>
        <w:spacing w:after="0" w:line="290" w:lineRule="auto"/>
        <w:tabs>
          <w:tab w:leader="none" w:pos="766"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is made in the payment of any installment of interest on any Security, or any Additional Amounts payable with respect thereto, when such interest or Additional Amounts shall have become due and payable and such default continues for any cure period specified with respect to such Security;</w:t>
      </w:r>
    </w:p>
    <w:p>
      <w:pPr>
        <w:spacing w:after="0" w:line="132" w:lineRule="exact"/>
        <w:rPr>
          <w:rFonts w:ascii="Times New Roman" w:cs="Times New Roman" w:eastAsia="Times New Roman" w:hAnsi="Times New Roman"/>
          <w:sz w:val="15"/>
          <w:szCs w:val="15"/>
          <w:color w:val="auto"/>
        </w:rPr>
      </w:pPr>
    </w:p>
    <w:p>
      <w:pPr>
        <w:ind w:right="320" w:firstLine="541"/>
        <w:spacing w:after="0" w:line="290" w:lineRule="auto"/>
        <w:tabs>
          <w:tab w:leader="none" w:pos="766"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is made in the payment of any principal of or premium, if any, on, or any Additional Amounts payable in respect of any principal of or premium, if any, on any Security at its Maturity; or</w:t>
      </w:r>
    </w:p>
    <w:p>
      <w:pPr>
        <w:spacing w:after="0" w:line="132" w:lineRule="exact"/>
        <w:rPr>
          <w:rFonts w:ascii="Times New Roman" w:cs="Times New Roman" w:eastAsia="Times New Roman" w:hAnsi="Times New Roman"/>
          <w:sz w:val="15"/>
          <w:szCs w:val="15"/>
          <w:color w:val="auto"/>
        </w:rPr>
      </w:pPr>
    </w:p>
    <w:p>
      <w:pPr>
        <w:ind w:right="280" w:firstLine="541"/>
        <w:spacing w:after="0" w:line="290" w:lineRule="auto"/>
        <w:tabs>
          <w:tab w:leader="none" w:pos="766"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default is made in the deposit of any sinking fund payment, when and as due by the terms of any Security and such default continues for any cure period specified with respect to such Security;</w:t>
      </w:r>
    </w:p>
    <w:p>
      <w:pPr>
        <w:spacing w:after="0" w:line="13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the Company shall, upon demand of the Trustee, pay to the Trustee, for the benefit of the Holders of such Securities, the whole amount of money then due and payable with respect to such Securities, with interest upon the overdue principal, any premium and, to the extent that payment of such interest shall be legally enforceable, upon any overdue installments of interest and Additional Amounts at the rate or rates borne by or provided for in such Securities, and, in addition thereto, such further amount of money as shall be sufficient to cover the costs and expenses of collection, including the reasonable compensation, expenses, disbursements and advances of the Trustee, its agents and counsel and all other amounts due to the Trustee under Section 6.7.</w:t>
      </w:r>
    </w:p>
    <w:p>
      <w:pPr>
        <w:spacing w:after="0" w:line="154" w:lineRule="exact"/>
        <w:rPr>
          <w:sz w:val="20"/>
          <w:szCs w:val="20"/>
          <w:color w:val="auto"/>
        </w:rPr>
      </w:pPr>
    </w:p>
    <w:p>
      <w:pPr>
        <w:jc w:val="both"/>
        <w:ind w:right="120" w:firstLine="549"/>
        <w:spacing w:after="0" w:line="266" w:lineRule="auto"/>
        <w:rPr>
          <w:sz w:val="20"/>
          <w:szCs w:val="20"/>
          <w:color w:val="auto"/>
        </w:rPr>
      </w:pPr>
      <w:r>
        <w:rPr>
          <w:rFonts w:ascii="Times New Roman" w:cs="Times New Roman" w:eastAsia="Times New Roman" w:hAnsi="Times New Roman"/>
          <w:sz w:val="15"/>
          <w:szCs w:val="15"/>
          <w:color w:val="auto"/>
        </w:rPr>
        <w:t>If the Company fails to pay the money it is required to pay the Trustee pursuant to the preceding paragraph forthwith upon the demand of the Trustee, the Trustee, in its own name and as trustee of an express trust, may institute a judicial proceeding for the collection of the money so due and unpaid, and may prosecute such proceeding to judgment or final decree, and may enforce the same against the Company or any other obligor upon such Securities and collect the monies adjudged or decreed to be payable in the manner provided by law out of the property of the Company or any other obligor upon such Securities, wherever situated.</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43" w:name="page144"/>
    <w:bookmarkEnd w:id="143"/>
    <w:p>
      <w:pPr>
        <w:ind w:firstLine="549"/>
        <w:spacing w:after="0" w:line="260" w:lineRule="auto"/>
        <w:rPr>
          <w:sz w:val="20"/>
          <w:szCs w:val="20"/>
          <w:color w:val="auto"/>
        </w:rPr>
      </w:pPr>
      <w:r>
        <w:rPr>
          <w:rFonts w:ascii="Times New Roman" w:cs="Times New Roman" w:eastAsia="Times New Roman" w:hAnsi="Times New Roman"/>
          <w:sz w:val="15"/>
          <w:szCs w:val="15"/>
          <w:color w:val="auto"/>
        </w:rPr>
        <w:t>If an Event of Default with respect to the Securities of any series occurs and is continuing, the Trustee may, and if (A) an Event of Default specified in clause (1), (2), (5) or (6) of the definition thereof occurs and is continuing, and Holders of not less than 25% in aggregate principal amount of the Outstanding Securities of such series direct, or (B) an Event of Default other than an Event of Default specified in clause (1), (2), (5) or (6) of the definition thereof occurs and is continuing, and Holders of not less than a majority in aggregate principal amount of the Outstanding Securities of such series direct, so long as such Holders shall have provided the Trustee with such indemnity as it shall require and subject to the provisions of Section 5.12, the Trustee shall, proceed to protect and enforce its rights and the rights of the Holders of Securities of such series by such appropriate judicial proceedings to protect and enforce any such rights, whether for the specific enforcement of any covenant or agreement in this Indenture or such Securities or in aid of the exercise of any power granted herein or therein, or to enforce any other proper remedy.</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5.4 </w:t>
      </w:r>
      <w:r>
        <w:rPr>
          <w:rFonts w:ascii="Times New Roman" w:cs="Times New Roman" w:eastAsia="Times New Roman" w:hAnsi="Times New Roman"/>
          <w:sz w:val="15"/>
          <w:szCs w:val="15"/>
          <w:u w:val="single" w:color="auto"/>
          <w:color w:val="auto"/>
        </w:rPr>
        <w:t>Trustee May File Proofs of Claim</w:t>
      </w:r>
    </w:p>
    <w:p>
      <w:pPr>
        <w:spacing w:after="0" w:line="194" w:lineRule="exact"/>
        <w:rPr>
          <w:sz w:val="20"/>
          <w:szCs w:val="20"/>
          <w:color w:val="auto"/>
        </w:rPr>
      </w:pPr>
    </w:p>
    <w:p>
      <w:pPr>
        <w:ind w:right="80" w:firstLine="549"/>
        <w:spacing w:after="0" w:line="266" w:lineRule="auto"/>
        <w:rPr>
          <w:sz w:val="20"/>
          <w:szCs w:val="20"/>
          <w:color w:val="auto"/>
        </w:rPr>
      </w:pPr>
      <w:r>
        <w:rPr>
          <w:rFonts w:ascii="Times New Roman" w:cs="Times New Roman" w:eastAsia="Times New Roman" w:hAnsi="Times New Roman"/>
          <w:sz w:val="15"/>
          <w:szCs w:val="15"/>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any overdue principal, premium, interest or Additional Amounts) shall be entitled and empowered, by intervention in such proceeding or otherwise,</w:t>
      </w:r>
    </w:p>
    <w:p>
      <w:pPr>
        <w:spacing w:after="0" w:line="151" w:lineRule="exact"/>
        <w:rPr>
          <w:sz w:val="20"/>
          <w:szCs w:val="20"/>
          <w:color w:val="auto"/>
        </w:rPr>
      </w:pPr>
    </w:p>
    <w:p>
      <w:pPr>
        <w:ind w:right="20" w:firstLine="541"/>
        <w:spacing w:after="0" w:line="266" w:lineRule="auto"/>
        <w:tabs>
          <w:tab w:leader="none" w:pos="766"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file and prove a claim for the whole amount, or such lesser amount as may be provided for in the Securities of such series, of the principal and any premium, interest and Additional Amounts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or counsel) and of the Holders of Securities allowed in such judicial proceeding, and</w:t>
      </w:r>
    </w:p>
    <w:p>
      <w:pPr>
        <w:spacing w:after="0" w:line="151"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collect and receive any monies or other property payable or deliverable on any such claims and to distribute the same;</w:t>
      </w:r>
    </w:p>
    <w:p>
      <w:pPr>
        <w:spacing w:after="0" w:line="194"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5"/>
          <w:szCs w:val="15"/>
          <w:color w:val="auto"/>
        </w:rPr>
        <w:t>and any custodian, receiver, assignee, trustee, liquidator, sequestrator or other similar official in any such judicial proceeding is hereby authorized by each Holder of Securities to make such payments to the Trustee and, in the event that the Trustee shall consent to the making of such payments directly to the Holders of Securities, to pay to the Trustee any amount due to it for the reasonable compensation, expenses, disbursements and advances of the Trustee, its agents and counsel and any other amounts due the Trustee under Section 6.7.</w:t>
      </w:r>
    </w:p>
    <w:p>
      <w:pPr>
        <w:spacing w:after="0" w:line="146" w:lineRule="exact"/>
        <w:rPr>
          <w:sz w:val="20"/>
          <w:szCs w:val="20"/>
          <w:color w:val="auto"/>
        </w:rPr>
      </w:pPr>
    </w:p>
    <w:p>
      <w:pPr>
        <w:ind w:right="300" w:firstLine="549"/>
        <w:spacing w:after="0" w:line="272" w:lineRule="auto"/>
        <w:rPr>
          <w:sz w:val="20"/>
          <w:szCs w:val="20"/>
          <w:color w:val="auto"/>
        </w:rPr>
      </w:pPr>
      <w:r>
        <w:rPr>
          <w:rFonts w:ascii="Times New Roman" w:cs="Times New Roman" w:eastAsia="Times New Roman" w:hAnsi="Times New Roman"/>
          <w:sz w:val="15"/>
          <w:szCs w:val="15"/>
          <w:color w:val="auto"/>
        </w:rPr>
        <w:t>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44" w:name="page145"/>
    <w:bookmarkEnd w:id="144"/>
    <w:p>
      <w:pPr>
        <w:ind w:left="540"/>
        <w:spacing w:after="0"/>
        <w:rPr>
          <w:sz w:val="20"/>
          <w:szCs w:val="20"/>
          <w:color w:val="auto"/>
        </w:rPr>
      </w:pPr>
      <w:r>
        <w:rPr>
          <w:rFonts w:ascii="Times New Roman" w:cs="Times New Roman" w:eastAsia="Times New Roman" w:hAnsi="Times New Roman"/>
          <w:sz w:val="15"/>
          <w:szCs w:val="15"/>
          <w:color w:val="auto"/>
        </w:rPr>
        <w:t xml:space="preserve">Section 5.5 </w:t>
      </w:r>
      <w:r>
        <w:rPr>
          <w:rFonts w:ascii="Times New Roman" w:cs="Times New Roman" w:eastAsia="Times New Roman" w:hAnsi="Times New Roman"/>
          <w:sz w:val="15"/>
          <w:szCs w:val="15"/>
          <w:u w:val="single" w:color="auto"/>
          <w:color w:val="auto"/>
        </w:rPr>
        <w:t>Trustee May Enforce Claims without Possession of Securities</w:t>
      </w:r>
    </w:p>
    <w:p>
      <w:pPr>
        <w:spacing w:after="0" w:line="194" w:lineRule="exact"/>
        <w:rPr>
          <w:sz w:val="20"/>
          <w:szCs w:val="20"/>
          <w:color w:val="auto"/>
        </w:rPr>
      </w:pPr>
    </w:p>
    <w:p>
      <w:pPr>
        <w:ind w:right="200" w:firstLine="549"/>
        <w:spacing w:after="0" w:line="266" w:lineRule="auto"/>
        <w:rPr>
          <w:sz w:val="20"/>
          <w:szCs w:val="20"/>
          <w:color w:val="auto"/>
        </w:rPr>
      </w:pPr>
      <w:r>
        <w:rPr>
          <w:rFonts w:ascii="Times New Roman" w:cs="Times New Roman" w:eastAsia="Times New Roman" w:hAnsi="Times New Roman"/>
          <w:sz w:val="15"/>
          <w:szCs w:val="15"/>
          <w:color w:val="auto"/>
        </w:rPr>
        <w:t>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or judgment, after provision for the payment of the reasonable compensation, expenses, disbursements and advances of the Trustee, its agents and counsel, shall be for the ratable benefit of each and every Holder of a Security in respect of which such judgment has been recovered.</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5.6 </w:t>
      </w:r>
      <w:r>
        <w:rPr>
          <w:rFonts w:ascii="Times New Roman" w:cs="Times New Roman" w:eastAsia="Times New Roman" w:hAnsi="Times New Roman"/>
          <w:sz w:val="15"/>
          <w:szCs w:val="15"/>
          <w:u w:val="single" w:color="auto"/>
          <w:color w:val="auto"/>
        </w:rPr>
        <w:t>Application of Money Collected</w:t>
      </w:r>
    </w:p>
    <w:p>
      <w:pPr>
        <w:spacing w:after="0" w:line="194" w:lineRule="exact"/>
        <w:rPr>
          <w:sz w:val="20"/>
          <w:szCs w:val="20"/>
          <w:color w:val="auto"/>
        </w:rPr>
      </w:pPr>
    </w:p>
    <w:p>
      <w:pPr>
        <w:jc w:val="both"/>
        <w:ind w:right="160" w:firstLine="549"/>
        <w:spacing w:after="0" w:line="272" w:lineRule="auto"/>
        <w:rPr>
          <w:sz w:val="20"/>
          <w:szCs w:val="20"/>
          <w:color w:val="auto"/>
        </w:rPr>
      </w:pPr>
      <w:r>
        <w:rPr>
          <w:rFonts w:ascii="Times New Roman" w:cs="Times New Roman" w:eastAsia="Times New Roman" w:hAnsi="Times New Roman"/>
          <w:sz w:val="15"/>
          <w:szCs w:val="15"/>
          <w:color w:val="auto"/>
        </w:rPr>
        <w:t>Any money collected by the Trustee pursuant to this Article 5 with respect to Securities of any series shall be applied in the following order, at the date or dates fixed by the Trustee and, in case of the distribution of such money on account of principal, or any premium, interest or Additional Amounts, upon presentation of such Securities, and the notation thereon of the payment if only partially paid and upon surrender thereof if fully paid:</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FIRST: To the payment of all amounts due the Trustee and any predecessor Trustee under Section 6.7;</w:t>
      </w:r>
    </w:p>
    <w:p>
      <w:pPr>
        <w:spacing w:after="0" w:line="194"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SECOND: To the payment of the amounts then due and unpaid upon such Securities for principal and any premium, interest and Additional Amounts in respect of which or for the benefit of which such money has been collected, ratably, without preference or priority of any kind, according to the aggregate amounts due and payable on such Securities for principal and any premium, interest and Additional Amounts, respectively; and</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THIRD: The balance, if any, to the Company.</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5.7 </w:t>
      </w:r>
      <w:r>
        <w:rPr>
          <w:rFonts w:ascii="Times New Roman" w:cs="Times New Roman" w:eastAsia="Times New Roman" w:hAnsi="Times New Roman"/>
          <w:sz w:val="15"/>
          <w:szCs w:val="15"/>
          <w:u w:val="single" w:color="auto"/>
          <w:color w:val="auto"/>
        </w:rPr>
        <w:t>Limitations on Suits</w:t>
      </w:r>
    </w:p>
    <w:p>
      <w:pPr>
        <w:spacing w:after="0" w:line="194" w:lineRule="exact"/>
        <w:rPr>
          <w:sz w:val="20"/>
          <w:szCs w:val="20"/>
          <w:color w:val="auto"/>
        </w:rPr>
      </w:pPr>
    </w:p>
    <w:p>
      <w:pPr>
        <w:ind w:right="500" w:firstLine="549"/>
        <w:spacing w:after="0" w:line="290" w:lineRule="auto"/>
        <w:rPr>
          <w:sz w:val="20"/>
          <w:szCs w:val="20"/>
          <w:color w:val="auto"/>
        </w:rPr>
      </w:pPr>
      <w:r>
        <w:rPr>
          <w:rFonts w:ascii="Times New Roman" w:cs="Times New Roman" w:eastAsia="Times New Roman" w:hAnsi="Times New Roman"/>
          <w:sz w:val="15"/>
          <w:szCs w:val="15"/>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33" w:lineRule="exact"/>
        <w:rPr>
          <w:sz w:val="20"/>
          <w:szCs w:val="20"/>
          <w:color w:val="auto"/>
        </w:rPr>
      </w:pPr>
    </w:p>
    <w:p>
      <w:pPr>
        <w:ind w:left="760" w:hanging="219"/>
        <w:spacing w:after="0"/>
        <w:tabs>
          <w:tab w:leader="none" w:pos="76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has previously given written notice to the Trustee of a continuing Event of Default with respect to the Securities of such series;</w:t>
      </w:r>
    </w:p>
    <w:p>
      <w:pPr>
        <w:spacing w:after="0" w:line="193" w:lineRule="exact"/>
        <w:rPr>
          <w:rFonts w:ascii="Times New Roman" w:cs="Times New Roman" w:eastAsia="Times New Roman" w:hAnsi="Times New Roman"/>
          <w:sz w:val="15"/>
          <w:szCs w:val="15"/>
          <w:color w:val="auto"/>
        </w:rPr>
      </w:pPr>
    </w:p>
    <w:p>
      <w:pPr>
        <w:ind w:right="200" w:firstLine="541"/>
        <w:spacing w:after="0" w:line="266" w:lineRule="auto"/>
        <w:tabs>
          <w:tab w:leader="none" w:pos="766"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in the case of an Event of Default specified in clause (1), (2), (5) and (6) of the definition thereof, Holders of not less than 25% in aggregate principal amount of the Outstanding Securities of such series, or (b) in the case of an Event of Default other than as specified in clause (1), (2), (5) and (6) of the definition thereof, Holders of not less than a majority in aggregate principal amount of the Outstanding Securities of such series, shall have made written request to the Trustee to institute proceedings in respect of such Event of Default in its own name as Trustee hereunder;</w:t>
      </w:r>
    </w:p>
    <w:p>
      <w:pPr>
        <w:spacing w:after="0" w:line="151"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Holder or Holders have offered to the Trustee indemnity satisfactory to it against the costs, expenses and liabilities to be incurred in compliance with such request;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5" w:name="page146"/>
    <w:bookmarkEnd w:id="145"/>
    <w:p>
      <w:pPr>
        <w:ind w:left="760" w:hanging="219"/>
        <w:spacing w:after="0"/>
        <w:tabs>
          <w:tab w:leader="none" w:pos="76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for 60 days after its receipt of such notice, request and offer of indemnity has failed to institute any such proceeding, make such appointment or seek any other</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remedy; and</w:t>
      </w:r>
    </w:p>
    <w:p>
      <w:pPr>
        <w:spacing w:after="0" w:line="179" w:lineRule="exact"/>
        <w:rPr>
          <w:rFonts w:ascii="Times New Roman" w:cs="Times New Roman" w:eastAsia="Times New Roman" w:hAnsi="Times New Roman"/>
          <w:sz w:val="15"/>
          <w:szCs w:val="15"/>
          <w:color w:val="auto"/>
        </w:rPr>
      </w:pPr>
    </w:p>
    <w:p>
      <w:pPr>
        <w:ind w:right="520" w:firstLine="541"/>
        <w:spacing w:after="0" w:line="290" w:lineRule="auto"/>
        <w:tabs>
          <w:tab w:leader="none" w:pos="766"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direction inconsistent with such written request has been given to the Trustee during such 60-day period by the Holders of a majority in principal amount of the Outstanding Securities of such series;</w:t>
      </w:r>
    </w:p>
    <w:p>
      <w:pPr>
        <w:spacing w:after="0" w:line="13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5"/>
          <w:szCs w:val="15"/>
          <w:color w:val="auto"/>
        </w:rPr>
        <w:t>it being understood and intended that no one or more of such Holders shall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5.8 </w:t>
      </w:r>
      <w:r>
        <w:rPr>
          <w:rFonts w:ascii="Times New Roman" w:cs="Times New Roman" w:eastAsia="Times New Roman" w:hAnsi="Times New Roman"/>
          <w:sz w:val="15"/>
          <w:szCs w:val="15"/>
          <w:u w:val="single" w:color="auto"/>
          <w:color w:val="auto"/>
        </w:rPr>
        <w:t>Unconditional Right of Holders to Receive Principal and Any Premium, Interest and Additional Amounts</w:t>
      </w:r>
    </w:p>
    <w:p>
      <w:pPr>
        <w:spacing w:after="0" w:line="194"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Notwithstanding any other provision in this Indenture, the Holder of any Security shall have the right, which is absolute and unconditional, to receive payment of the principal of, any premium and (subject to Section 3.5 and Section 3.7) interest on, and any Additional Amounts with respect to, such Security, on the respective Stated Maturity or Maturities therefor specified in such Security (or, in the case of redemption, on the Redemption Date or, in the case of repayment at the option of such Holder if provided in or pursuant to this Indenture, on the date such repayment is due) and to institute suit for the enforcement of any such payment, and such right shall not be impaired without the consent of such Holder.</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5.9 </w:t>
      </w:r>
      <w:r>
        <w:rPr>
          <w:rFonts w:ascii="Times New Roman" w:cs="Times New Roman" w:eastAsia="Times New Roman" w:hAnsi="Times New Roman"/>
          <w:sz w:val="15"/>
          <w:szCs w:val="15"/>
          <w:u w:val="single" w:color="auto"/>
          <w:color w:val="auto"/>
        </w:rPr>
        <w:t>Restoration of Rights and Remedies</w:t>
      </w:r>
    </w:p>
    <w:p>
      <w:pPr>
        <w:spacing w:after="0" w:line="194" w:lineRule="exact"/>
        <w:rPr>
          <w:sz w:val="20"/>
          <w:szCs w:val="20"/>
          <w:color w:val="auto"/>
        </w:rPr>
      </w:pPr>
    </w:p>
    <w:p>
      <w:pPr>
        <w:ind w:right="20" w:firstLine="549"/>
        <w:spacing w:after="0" w:line="266" w:lineRule="auto"/>
        <w:rPr>
          <w:sz w:val="20"/>
          <w:szCs w:val="20"/>
          <w:color w:val="auto"/>
        </w:rPr>
      </w:pPr>
      <w:r>
        <w:rPr>
          <w:rFonts w:ascii="Times New Roman" w:cs="Times New Roman" w:eastAsia="Times New Roman" w:hAnsi="Times New Roman"/>
          <w:sz w:val="15"/>
          <w:szCs w:val="15"/>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each such Holder shall, subject to any determination in such proceeding, be restored severally and respectively to their former positions hereunder, and thereafter all rights and remedies of the Trustee and each such Holder shall continue as though no such proceeding had been instituted.</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5.10 </w:t>
      </w:r>
      <w:r>
        <w:rPr>
          <w:rFonts w:ascii="Times New Roman" w:cs="Times New Roman" w:eastAsia="Times New Roman" w:hAnsi="Times New Roman"/>
          <w:sz w:val="15"/>
          <w:szCs w:val="15"/>
          <w:u w:val="single" w:color="auto"/>
          <w:color w:val="auto"/>
        </w:rPr>
        <w:t>Rights and Remedies Cumulative</w:t>
      </w:r>
    </w:p>
    <w:p>
      <w:pPr>
        <w:spacing w:after="0" w:line="194" w:lineRule="exact"/>
        <w:rPr>
          <w:sz w:val="20"/>
          <w:szCs w:val="20"/>
          <w:color w:val="auto"/>
        </w:rPr>
      </w:pPr>
    </w:p>
    <w:p>
      <w:pPr>
        <w:ind w:right="20" w:firstLine="549"/>
        <w:spacing w:after="0" w:line="263" w:lineRule="auto"/>
        <w:rPr>
          <w:sz w:val="20"/>
          <w:szCs w:val="20"/>
          <w:color w:val="auto"/>
        </w:rPr>
      </w:pPr>
      <w:r>
        <w:rPr>
          <w:rFonts w:ascii="Times New Roman" w:cs="Times New Roman" w:eastAsia="Times New Roman" w:hAnsi="Times New Roman"/>
          <w:sz w:val="15"/>
          <w:szCs w:val="15"/>
          <w:color w:val="auto"/>
        </w:rPr>
        <w:t>Except as otherwise provided with respect to the replacement or payment of mutilated, destroyed, lost or stolen Securities in the last paragraph of Section 3.6, no right or remedy herein conferred upon or reserved to the Trustee or to each and every Holder of a Security is intended to be exclusive of any other right or remedy, and every right and remedy, to the extent permitted by law, shall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146" w:name="page147"/>
    <w:bookmarkEnd w:id="146"/>
    <w:p>
      <w:pPr>
        <w:ind w:left="540"/>
        <w:spacing w:after="0"/>
        <w:rPr>
          <w:sz w:val="20"/>
          <w:szCs w:val="20"/>
          <w:color w:val="auto"/>
        </w:rPr>
      </w:pPr>
      <w:r>
        <w:rPr>
          <w:rFonts w:ascii="Times New Roman" w:cs="Times New Roman" w:eastAsia="Times New Roman" w:hAnsi="Times New Roman"/>
          <w:sz w:val="15"/>
          <w:szCs w:val="15"/>
          <w:color w:val="auto"/>
        </w:rPr>
        <w:t xml:space="preserve">Section 5.11 </w:t>
      </w:r>
      <w:r>
        <w:rPr>
          <w:rFonts w:ascii="Times New Roman" w:cs="Times New Roman" w:eastAsia="Times New Roman" w:hAnsi="Times New Roman"/>
          <w:sz w:val="15"/>
          <w:szCs w:val="15"/>
          <w:u w:val="single" w:color="auto"/>
          <w:color w:val="auto"/>
        </w:rPr>
        <w:t>Delay or Omission Not Waiver</w:t>
      </w:r>
    </w:p>
    <w:p>
      <w:pPr>
        <w:spacing w:after="0" w:line="194"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5 or by law to the Trustee or to any Holder of a Security may be exercised from time to time, and as often as may be deemed expedient, by the Trustee or by such Holder, as the case may be.</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5.12 </w:t>
      </w:r>
      <w:r>
        <w:rPr>
          <w:rFonts w:ascii="Times New Roman" w:cs="Times New Roman" w:eastAsia="Times New Roman" w:hAnsi="Times New Roman"/>
          <w:sz w:val="15"/>
          <w:szCs w:val="15"/>
          <w:u w:val="single" w:color="auto"/>
          <w:color w:val="auto"/>
        </w:rPr>
        <w:t>Control by Holders of Securities</w:t>
      </w:r>
    </w:p>
    <w:p>
      <w:pPr>
        <w:spacing w:after="0" w:line="194" w:lineRule="exact"/>
        <w:rPr>
          <w:sz w:val="20"/>
          <w:szCs w:val="20"/>
          <w:color w:val="auto"/>
        </w:rPr>
      </w:pPr>
    </w:p>
    <w:p>
      <w:pPr>
        <w:ind w:right="680" w:firstLine="549"/>
        <w:spacing w:after="0" w:line="290" w:lineRule="auto"/>
        <w:rPr>
          <w:sz w:val="20"/>
          <w:szCs w:val="20"/>
          <w:color w:val="auto"/>
        </w:rPr>
      </w:pPr>
      <w:r>
        <w:rPr>
          <w:rFonts w:ascii="Times New Roman" w:cs="Times New Roman" w:eastAsia="Times New Roman" w:hAnsi="Times New Roman"/>
          <w:sz w:val="15"/>
          <w:szCs w:val="15"/>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33" w:lineRule="exact"/>
        <w:rPr>
          <w:sz w:val="20"/>
          <w:szCs w:val="20"/>
          <w:color w:val="auto"/>
        </w:rPr>
      </w:pPr>
    </w:p>
    <w:p>
      <w:pPr>
        <w:ind w:left="760" w:hanging="219"/>
        <w:spacing w:after="0"/>
        <w:tabs>
          <w:tab w:leader="none" w:pos="76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direction shall not be in conflict with any rule of law or with this Indenture or with the Securities of any series and would not involve the Trustee in personal liability;</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take any other action deemed proper by the Trustee which is not inconsistent with such direction; and</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direction is not unduly prejudicial to the rights of the other Holders of Securities of such series not joining in such action.</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5.13 </w:t>
      </w:r>
      <w:r>
        <w:rPr>
          <w:rFonts w:ascii="Times New Roman" w:cs="Times New Roman" w:eastAsia="Times New Roman" w:hAnsi="Times New Roman"/>
          <w:sz w:val="15"/>
          <w:szCs w:val="15"/>
          <w:u w:val="single" w:color="auto"/>
          <w:color w:val="auto"/>
        </w:rPr>
        <w:t>Waiver of Past or Existing Defaults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Holders of not less than a majority in principal amount of the Outstanding Securities of any series by notice to the Trustee may on behalf of the Holders of all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Securities of such series waive any past or existing default or Event of Default hereunder with respect to such series and its consequences, except:</w:t>
      </w:r>
    </w:p>
    <w:p>
      <w:pPr>
        <w:spacing w:after="0" w:line="179" w:lineRule="exact"/>
        <w:rPr>
          <w:sz w:val="20"/>
          <w:szCs w:val="20"/>
          <w:color w:val="auto"/>
        </w:rPr>
      </w:pPr>
    </w:p>
    <w:p>
      <w:pPr>
        <w:ind w:left="760" w:hanging="219"/>
        <w:spacing w:after="0"/>
        <w:tabs>
          <w:tab w:leader="none" w:pos="76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continuing default or Event of Default in the payment of the principal of, any premium or interest on, or any Additional Amounts with respect to, any Security of such</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series; or</w:t>
      </w:r>
    </w:p>
    <w:p>
      <w:pPr>
        <w:spacing w:after="0" w:line="179" w:lineRule="exact"/>
        <w:rPr>
          <w:rFonts w:ascii="Times New Roman" w:cs="Times New Roman" w:eastAsia="Times New Roman" w:hAnsi="Times New Roman"/>
          <w:sz w:val="15"/>
          <w:szCs w:val="15"/>
          <w:color w:val="auto"/>
        </w:rPr>
      </w:pPr>
    </w:p>
    <w:p>
      <w:pPr>
        <w:ind w:right="20" w:firstLine="541"/>
        <w:spacing w:after="0" w:line="290" w:lineRule="auto"/>
        <w:tabs>
          <w:tab w:leader="none" w:pos="766"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default or Event of Default in respect of a covenant or provision hereof which under Article 9 hereof cannot be modified or amended without the consent of the Holder of each Outstanding Security of such series affected.</w:t>
      </w:r>
    </w:p>
    <w:p>
      <w:pPr>
        <w:spacing w:after="0" w:line="133" w:lineRule="exact"/>
        <w:rPr>
          <w:sz w:val="20"/>
          <w:szCs w:val="20"/>
          <w:color w:val="auto"/>
        </w:rPr>
      </w:pPr>
    </w:p>
    <w:p>
      <w:pPr>
        <w:ind w:right="140" w:firstLine="549"/>
        <w:spacing w:after="0" w:line="272" w:lineRule="auto"/>
        <w:rPr>
          <w:sz w:val="20"/>
          <w:szCs w:val="20"/>
          <w:color w:val="auto"/>
        </w:rPr>
      </w:pPr>
      <w:r>
        <w:rPr>
          <w:rFonts w:ascii="Times New Roman" w:cs="Times New Roman" w:eastAsia="Times New Roman" w:hAnsi="Times New Roman"/>
          <w:sz w:val="15"/>
          <w:szCs w:val="15"/>
          <w:color w:val="auto"/>
        </w:rPr>
        <w:t>Upon any such waiver, such default or Event of Default with respect to such series shall cease to exist, and any Event of Default with respect to such series arising therefrom shall be deemed to have been cured, for every purpose of this Indenture; but no such waiver shall extend to any subsequent or other default with respect to such series or impair any right with respect to such series consequent thereon.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47" w:name="page148"/>
    <w:bookmarkEnd w:id="147"/>
    <w:p>
      <w:pPr>
        <w:ind w:left="540"/>
        <w:spacing w:after="0"/>
        <w:rPr>
          <w:sz w:val="20"/>
          <w:szCs w:val="20"/>
          <w:color w:val="auto"/>
        </w:rPr>
      </w:pPr>
      <w:r>
        <w:rPr>
          <w:rFonts w:ascii="Times New Roman" w:cs="Times New Roman" w:eastAsia="Times New Roman" w:hAnsi="Times New Roman"/>
          <w:sz w:val="15"/>
          <w:szCs w:val="15"/>
          <w:color w:val="auto"/>
        </w:rPr>
        <w:t xml:space="preserve">Section 5.14 </w:t>
      </w:r>
      <w:r>
        <w:rPr>
          <w:rFonts w:ascii="Times New Roman" w:cs="Times New Roman" w:eastAsia="Times New Roman" w:hAnsi="Times New Roman"/>
          <w:sz w:val="15"/>
          <w:szCs w:val="15"/>
          <w:u w:val="single" w:color="auto"/>
          <w:color w:val="auto"/>
        </w:rPr>
        <w:t>Waiver of Stay or Extension Laws</w:t>
      </w:r>
    </w:p>
    <w:p>
      <w:pPr>
        <w:spacing w:after="0" w:line="194"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The Company covenants that (to the extent that it may lawfully do so)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expressly waives (to the extent that it may lawfully do so)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5.15 </w:t>
      </w:r>
      <w:r>
        <w:rPr>
          <w:rFonts w:ascii="Times New Roman" w:cs="Times New Roman" w:eastAsia="Times New Roman" w:hAnsi="Times New Roman"/>
          <w:sz w:val="15"/>
          <w:szCs w:val="15"/>
          <w:u w:val="single" w:color="auto"/>
          <w:color w:val="auto"/>
        </w:rPr>
        <w:t>Undertaking for Costs</w:t>
      </w:r>
    </w:p>
    <w:p>
      <w:pPr>
        <w:spacing w:after="0" w:line="194" w:lineRule="exact"/>
        <w:rPr>
          <w:sz w:val="20"/>
          <w:szCs w:val="20"/>
          <w:color w:val="auto"/>
        </w:rPr>
      </w:pPr>
    </w:p>
    <w:p>
      <w:pPr>
        <w:ind w:right="40" w:firstLine="549"/>
        <w:spacing w:after="0" w:line="259" w:lineRule="auto"/>
        <w:rPr>
          <w:sz w:val="20"/>
          <w:szCs w:val="20"/>
          <w:color w:val="auto"/>
        </w:rPr>
      </w:pPr>
      <w:r>
        <w:rPr>
          <w:rFonts w:ascii="Times New Roman" w:cs="Times New Roman" w:eastAsia="Times New Roman" w:hAnsi="Times New Roman"/>
          <w:sz w:val="15"/>
          <w:szCs w:val="15"/>
          <w:color w:val="auto"/>
        </w:rPr>
        <w:t>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any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5.15 shall not apply to any suit instituted by the Trustee, to any suit instituted by any Holder, or group of Holders, holding in the aggregate more than 10% in principal amount of Outstanding Securities of any series, or to any suit instituted by any Holder for the enforcement of the payment of the principal of (or premium, if any) or interest, if any, on or Additional Amounts, if any, with respect to any Security on or after the respective Stated Maturities expressed in such Security (or, in the case of redemption, on or after the Redemption Date, and, in the case of repayment, on or after the date for repayment) or for the enforcement of the right, if any, to convert or exchange any Security into Common Stock or other securities, cash or other property in accordance with its terms.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6</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THE TRUSTEE</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6.1 </w:t>
      </w:r>
      <w:r>
        <w:rPr>
          <w:rFonts w:ascii="Times New Roman" w:cs="Times New Roman" w:eastAsia="Times New Roman" w:hAnsi="Times New Roman"/>
          <w:sz w:val="15"/>
          <w:szCs w:val="15"/>
          <w:u w:val="single" w:color="auto"/>
          <w:color w:val="auto"/>
        </w:rPr>
        <w:t>Certain Duties and Responsibilities</w:t>
      </w:r>
    </w:p>
    <w:p>
      <w:pPr>
        <w:spacing w:after="0" w:line="194" w:lineRule="exact"/>
        <w:rPr>
          <w:sz w:val="20"/>
          <w:szCs w:val="20"/>
          <w:color w:val="auto"/>
        </w:rPr>
      </w:pPr>
    </w:p>
    <w:p>
      <w:pPr>
        <w:ind w:right="40" w:firstLine="549"/>
        <w:spacing w:after="0" w:line="259" w:lineRule="auto"/>
        <w:rPr>
          <w:sz w:val="20"/>
          <w:szCs w:val="20"/>
          <w:color w:val="auto"/>
        </w:rPr>
      </w:pPr>
      <w:r>
        <w:rPr>
          <w:rFonts w:ascii="Times New Roman" w:cs="Times New Roman" w:eastAsia="Times New Roman" w:hAnsi="Times New Roman"/>
          <w:sz w:val="15"/>
          <w:szCs w:val="15"/>
          <w:color w:val="auto"/>
        </w:rPr>
        <w:t>The duties and responsibilities of the Trustee shall be as provided by the Trust Indenture Act. Except during the continuance of an Event of Default with respect to the Securities of a series of which a Responsible Officer has actual knowledge, the Trustee undertakes to perform such duties and only such duties as are specifically set forth in this Indenture with respect to such Securities, and no implied covenants or obligations shall be read into this Indenture with respect to such Securities against the Trustee. In case an Event of Default of which a Responsible Officer has actual knowledge with respect to the Securities of a series has occurred (which has not been cured or waived), the Trustee shall exercise the rights and powers vested in it by this Indenture, and use the same degree of care and skill in its exercise, with respect to such Securities, as a prudent person would exercise or use under the circumstances in the conduct of such person’s own affairs. Notwithstanding the foregoing, no provision of this Indenture shall require the Trustee to expend or risk its own funds or otherwise incur any financial liability in the performance of any of its duties hereunder, or in the exercise of any of its rights or powers. Whether or not therein expressly so provided, every provision of this Indenture relating to the conduct or affecting the liability of or affording protection to the Trustee shall be subject to the provisions of this Section 6.1.</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48" w:name="page149"/>
    <w:bookmarkEnd w:id="148"/>
    <w:p>
      <w:pPr>
        <w:ind w:left="520"/>
        <w:spacing w:after="0"/>
        <w:rPr>
          <w:sz w:val="20"/>
          <w:szCs w:val="20"/>
          <w:color w:val="auto"/>
        </w:rPr>
      </w:pPr>
      <w:r>
        <w:rPr>
          <w:rFonts w:ascii="Times New Roman" w:cs="Times New Roman" w:eastAsia="Times New Roman" w:hAnsi="Times New Roman"/>
          <w:sz w:val="15"/>
          <w:szCs w:val="15"/>
          <w:color w:val="auto"/>
        </w:rPr>
        <w:t xml:space="preserve">Section 6.2 </w:t>
      </w:r>
      <w:r>
        <w:rPr>
          <w:rFonts w:ascii="Times New Roman" w:cs="Times New Roman" w:eastAsia="Times New Roman" w:hAnsi="Times New Roman"/>
          <w:sz w:val="15"/>
          <w:szCs w:val="15"/>
          <w:u w:val="single" w:color="auto"/>
          <w:color w:val="auto"/>
        </w:rPr>
        <w:t>Certain Rights of Trustee</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Subject to the provisions of Section 6.1:</w:t>
      </w:r>
    </w:p>
    <w:p>
      <w:pPr>
        <w:spacing w:after="0" w:line="194" w:lineRule="exact"/>
        <w:rPr>
          <w:sz w:val="20"/>
          <w:szCs w:val="20"/>
          <w:color w:val="auto"/>
        </w:rPr>
      </w:pPr>
    </w:p>
    <w:p>
      <w:pPr>
        <w:ind w:left="-20" w:right="60" w:firstLine="541"/>
        <w:spacing w:after="0" w:line="272" w:lineRule="auto"/>
        <w:tabs>
          <w:tab w:leader="none" w:pos="746"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conclusively rely and shall be fully protected in acting or refraining from acting upon any resolution, certificate, statement, instrument, opinion, report, notice, request, direction, consent, order, bond, debenture, note, coupon, other evidence of indebtedness or other paper or document (whether in its original or facsimile form) believed by it to be genuine and to have been signed or presented by the proper party or parties;</w:t>
      </w:r>
    </w:p>
    <w:p>
      <w:pPr>
        <w:spacing w:after="0" w:line="146" w:lineRule="exact"/>
        <w:rPr>
          <w:rFonts w:ascii="Times New Roman" w:cs="Times New Roman" w:eastAsia="Times New Roman" w:hAnsi="Times New Roman"/>
          <w:sz w:val="15"/>
          <w:szCs w:val="15"/>
          <w:color w:val="auto"/>
        </w:rPr>
      </w:pPr>
    </w:p>
    <w:p>
      <w:pPr>
        <w:ind w:left="-20" w:right="20" w:firstLine="541"/>
        <w:spacing w:after="0" w:line="272" w:lineRule="auto"/>
        <w:tabs>
          <w:tab w:leader="none" w:pos="746"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request or direction of the Company mentioned herein shall be sufficiently evidenced by a Company Request or a Company Order (in each case, other than delivery of any Security to the Trustee for authentication and delivery pursuant to Section 3.3 which shall be sufficiently evidenced as provided therein) and any resolution of the Board of Directors of the Company may be sufficiently evidenced by a Board Resolution;</w:t>
      </w:r>
    </w:p>
    <w:p>
      <w:pPr>
        <w:spacing w:after="0" w:line="146" w:lineRule="exact"/>
        <w:rPr>
          <w:rFonts w:ascii="Times New Roman" w:cs="Times New Roman" w:eastAsia="Times New Roman" w:hAnsi="Times New Roman"/>
          <w:sz w:val="15"/>
          <w:szCs w:val="15"/>
          <w:color w:val="auto"/>
        </w:rPr>
      </w:pPr>
    </w:p>
    <w:p>
      <w:pPr>
        <w:ind w:left="-20" w:right="140" w:firstLine="541"/>
        <w:spacing w:after="0" w:line="272" w:lineRule="auto"/>
        <w:tabs>
          <w:tab w:leader="none" w:pos="746"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in the administration of this Indenture the Trustee shall deem it desirable that a matter be proved or established prior to taking, suffering or omitting any action hereunder, the Trustee (unless other evidence shall be herein specifically prescribed) may, in the absence of bad faith on its part, request and conclusively rely upon an Officer’s Certificate;</w:t>
      </w:r>
    </w:p>
    <w:p>
      <w:pPr>
        <w:spacing w:after="0" w:line="146" w:lineRule="exact"/>
        <w:rPr>
          <w:rFonts w:ascii="Times New Roman" w:cs="Times New Roman" w:eastAsia="Times New Roman" w:hAnsi="Times New Roman"/>
          <w:sz w:val="15"/>
          <w:szCs w:val="15"/>
          <w:color w:val="auto"/>
        </w:rPr>
      </w:pPr>
    </w:p>
    <w:p>
      <w:pPr>
        <w:ind w:left="-20" w:right="160" w:firstLine="541"/>
        <w:spacing w:after="0" w:line="290" w:lineRule="auto"/>
        <w:tabs>
          <w:tab w:leader="none" w:pos="746"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32" w:lineRule="exact"/>
        <w:rPr>
          <w:rFonts w:ascii="Times New Roman" w:cs="Times New Roman" w:eastAsia="Times New Roman" w:hAnsi="Times New Roman"/>
          <w:sz w:val="15"/>
          <w:szCs w:val="15"/>
          <w:color w:val="auto"/>
        </w:rPr>
      </w:pPr>
    </w:p>
    <w:p>
      <w:pPr>
        <w:ind w:left="-20" w:right="120" w:firstLine="541"/>
        <w:spacing w:after="0" w:line="272" w:lineRule="auto"/>
        <w:tabs>
          <w:tab w:leader="none" w:pos="746"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be under no obligation to exercise any of the rights or powers vested in it by or pursuant to this Indenture or to institute, conduct or defend any litigation hereunder or in relation hereto at the request or direction of any of the Holders of Securities of any series pursuant to this Indenture, unless such Holders shall have offered to the Trustee security or indemnity reasonably satisfactory to it against the costs, expenses and liabilities which might be incurred by it in compliance with such request or direction;</w:t>
      </w:r>
    </w:p>
    <w:p>
      <w:pPr>
        <w:spacing w:after="0" w:line="146" w:lineRule="exact"/>
        <w:rPr>
          <w:rFonts w:ascii="Times New Roman" w:cs="Times New Roman" w:eastAsia="Times New Roman" w:hAnsi="Times New Roman"/>
          <w:sz w:val="15"/>
          <w:szCs w:val="15"/>
          <w:color w:val="auto"/>
        </w:rPr>
      </w:pPr>
    </w:p>
    <w:p>
      <w:pPr>
        <w:ind w:left="-20" w:firstLine="541"/>
        <w:spacing w:after="0" w:line="263" w:lineRule="auto"/>
        <w:tabs>
          <w:tab w:leader="none" w:pos="746"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bound to make any investigation into the facts or matters stated in any resolution, certificate, statement, instrument, opinion, report, notice, request, direction, consent, order, bond, debenture, coupon, note, other evidence of indebtedness or other paper or document, but the Trustee, in its discretion, may but shall not be obligated to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personally or by agent or attorney at the expense of the Company and shall incur no liability or additional liability of any kind by reason of such inquiry or investigation;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wp:posOffset>
            </wp:positionV>
            <wp:extent cx="7153275"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40" w:top="789" w:right="359" w:bottom="1440" w:gutter="0" w:footer="0" w:header="0"/>
        </w:sectPr>
      </w:pPr>
    </w:p>
    <w:bookmarkStart w:id="149" w:name="page150"/>
    <w:bookmarkEnd w:id="149"/>
    <w:p>
      <w:pPr>
        <w:ind w:right="380" w:firstLine="541"/>
        <w:spacing w:after="0" w:line="290" w:lineRule="auto"/>
        <w:tabs>
          <w:tab w:leader="none" w:pos="766"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execute any of the trusts or powers hereunder or perform any duties hereunder either directly or by or through agents, attorneys or custodians and the Trustee shall not be responsible for any misconduct or negligence on the part of any agent, attorney or custodians appointed with due care by it hereunder;</w:t>
      </w:r>
    </w:p>
    <w:p>
      <w:pPr>
        <w:spacing w:after="0" w:line="132" w:lineRule="exact"/>
        <w:rPr>
          <w:rFonts w:ascii="Times New Roman" w:cs="Times New Roman" w:eastAsia="Times New Roman" w:hAnsi="Times New Roman"/>
          <w:sz w:val="15"/>
          <w:szCs w:val="15"/>
          <w:color w:val="auto"/>
        </w:rPr>
      </w:pPr>
    </w:p>
    <w:p>
      <w:pPr>
        <w:ind w:right="260" w:firstLine="541"/>
        <w:spacing w:after="0" w:line="290" w:lineRule="auto"/>
        <w:tabs>
          <w:tab w:leader="none" w:pos="766"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in its individual capacity for any action taken or suffered to be taken, unless it shall be proved that the Trustee was negligent, acted in bad faith or engaged in willful misconduct;</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Authenticating Agent, Paying Agent, and Security Registrar shall have the same protections as the Trustee set forth hereunder;</w:t>
      </w:r>
    </w:p>
    <w:p>
      <w:pPr>
        <w:spacing w:after="0" w:line="193" w:lineRule="exact"/>
        <w:rPr>
          <w:rFonts w:ascii="Times New Roman" w:cs="Times New Roman" w:eastAsia="Times New Roman" w:hAnsi="Times New Roman"/>
          <w:sz w:val="15"/>
          <w:szCs w:val="15"/>
          <w:color w:val="auto"/>
        </w:rPr>
      </w:pPr>
    </w:p>
    <w:p>
      <w:pPr>
        <w:ind w:right="20" w:firstLine="541"/>
        <w:spacing w:after="0" w:line="266" w:lineRule="auto"/>
        <w:tabs>
          <w:tab w:leader="none" w:pos="842"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in its individual capacity with respect to any action taken, suffered or omitted to be taken by it in good faith in accordance with this Indenture, and, to the extent not so provided herein, with respect to any act requiring the Trustee to exercise its own discretion, relating to the time, method and place of conducting any proceeding for any remedy available to the Trustee, or exercising any trust or power conferred upon the Trustee, under this Indenture or any Securities, unless it shall be proved that, in connection with any such action taken, suffered or omitted or any such act, the Trustee was negligent, acted in bad faith or engaged in willful misconduct;</w:t>
      </w:r>
    </w:p>
    <w:p>
      <w:pPr>
        <w:spacing w:after="0" w:line="151" w:lineRule="exact"/>
        <w:rPr>
          <w:rFonts w:ascii="Times New Roman" w:cs="Times New Roman" w:eastAsia="Times New Roman" w:hAnsi="Times New Roman"/>
          <w:sz w:val="15"/>
          <w:szCs w:val="15"/>
          <w:color w:val="auto"/>
        </w:rPr>
      </w:pPr>
    </w:p>
    <w:p>
      <w:pPr>
        <w:ind w:right="300" w:firstLine="541"/>
        <w:spacing w:after="0" w:line="290" w:lineRule="auto"/>
        <w:tabs>
          <w:tab w:leader="none" w:pos="836"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 of this Indenture shall require the Trustee to expend or risk its own funds or otherwise incur any financial liability in the performance of any of its duties hereunder, or in the exercise of any of its rights or powers;</w:t>
      </w:r>
    </w:p>
    <w:p>
      <w:pPr>
        <w:spacing w:after="0" w:line="132" w:lineRule="exact"/>
        <w:rPr>
          <w:rFonts w:ascii="Times New Roman" w:cs="Times New Roman" w:eastAsia="Times New Roman" w:hAnsi="Times New Roman"/>
          <w:sz w:val="15"/>
          <w:szCs w:val="15"/>
          <w:color w:val="auto"/>
        </w:rPr>
      </w:pPr>
    </w:p>
    <w:p>
      <w:pPr>
        <w:ind w:right="20" w:firstLine="541"/>
        <w:spacing w:after="0" w:line="272" w:lineRule="auto"/>
        <w:tabs>
          <w:tab w:leader="none" w:pos="842"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charged with knowledge or required to take notice of any default or Event of Default with respect to the Securities unless either (A) a Responsible Officer shall have actual knowledge of such default or Event of Default or (B) written notice of such default or Event of Default, which references the Securities and this Indenture, shall have been given to a Responsible Officer by the Company or other obligor on such Securities or by any Holder of such Securities;</w:t>
      </w:r>
    </w:p>
    <w:p>
      <w:pPr>
        <w:spacing w:after="0" w:line="146" w:lineRule="exact"/>
        <w:rPr>
          <w:rFonts w:ascii="Times New Roman" w:cs="Times New Roman" w:eastAsia="Times New Roman" w:hAnsi="Times New Roman"/>
          <w:sz w:val="15"/>
          <w:szCs w:val="15"/>
          <w:color w:val="auto"/>
        </w:rPr>
      </w:pPr>
    </w:p>
    <w:p>
      <w:pPr>
        <w:ind w:firstLine="541"/>
        <w:spacing w:after="0" w:line="290" w:lineRule="auto"/>
        <w:tabs>
          <w:tab w:leader="none" w:pos="842"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in its individual capacity for any action taken, suffered or omitted by it in good faith and reasonably believed by it to be authorized or within the discretion or rights or powers conferred upon it by this Indenture;</w:t>
      </w:r>
    </w:p>
    <w:p>
      <w:pPr>
        <w:spacing w:after="0" w:line="132" w:lineRule="exact"/>
        <w:rPr>
          <w:rFonts w:ascii="Times New Roman" w:cs="Times New Roman" w:eastAsia="Times New Roman" w:hAnsi="Times New Roman"/>
          <w:sz w:val="15"/>
          <w:szCs w:val="15"/>
          <w:color w:val="auto"/>
        </w:rPr>
      </w:pPr>
    </w:p>
    <w:p>
      <w:pPr>
        <w:ind w:right="300" w:firstLine="541"/>
        <w:spacing w:after="0" w:line="290" w:lineRule="auto"/>
        <w:tabs>
          <w:tab w:leader="none" w:pos="842"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privileges, protections, immunities and benefits given to the Trustee, including, without limitation, its right to be indemnified, are extended to, and shall be enforceable by, the Trustee in each of its capacities hereunder, and each agent, custodian, director, officer, employee and other Person employed to act hereunder;</w:t>
      </w:r>
    </w:p>
    <w:p>
      <w:pPr>
        <w:spacing w:after="0" w:line="132" w:lineRule="exact"/>
        <w:rPr>
          <w:rFonts w:ascii="Times New Roman" w:cs="Times New Roman" w:eastAsia="Times New Roman" w:hAnsi="Times New Roman"/>
          <w:sz w:val="15"/>
          <w:szCs w:val="15"/>
          <w:color w:val="auto"/>
        </w:rPr>
      </w:pPr>
    </w:p>
    <w:p>
      <w:pPr>
        <w:jc w:val="both"/>
        <w:ind w:right="240" w:firstLine="541"/>
        <w:spacing w:after="0" w:line="272" w:lineRule="auto"/>
        <w:tabs>
          <w:tab w:leader="none" w:pos="842"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50" w:name="page151"/>
    <w:bookmarkEnd w:id="150"/>
    <w:p>
      <w:pPr>
        <w:ind w:right="160" w:firstLine="541"/>
        <w:spacing w:after="0" w:line="290" w:lineRule="auto"/>
        <w:tabs>
          <w:tab w:leader="none" w:pos="842"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permissive rights of the Trustee to take certain actions under or perform any discretionary act enumerated in this Indenture shall not be construed as a duty unless so specified herein, and the Trustee shall not be answerable for other than its negligence or willful misconduct in the performance of such action or act;</w:t>
      </w:r>
    </w:p>
    <w:p>
      <w:pPr>
        <w:spacing w:after="0" w:line="132" w:lineRule="exact"/>
        <w:rPr>
          <w:rFonts w:ascii="Times New Roman" w:cs="Times New Roman" w:eastAsia="Times New Roman" w:hAnsi="Times New Roman"/>
          <w:sz w:val="15"/>
          <w:szCs w:val="15"/>
          <w:color w:val="auto"/>
        </w:rPr>
      </w:pPr>
    </w:p>
    <w:p>
      <w:pPr>
        <w:ind w:right="560" w:firstLine="541"/>
        <w:spacing w:after="0" w:line="272" w:lineRule="auto"/>
        <w:tabs>
          <w:tab w:leader="none" w:pos="842"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not be liable in its individual capacity with respect to any action taken, suffered or omitted to be taken by it in good faith in accordance with this Indenture or at the direction of the Holders of a majority in aggregate principal amount of the Outstanding Securities relating to the time, method and place of conducting any proceeding for any remedy available to the Trustee, or exercising or omitting to exercise any trust or power conferred upon the Trustee, under this Indenture;</w:t>
      </w:r>
    </w:p>
    <w:p>
      <w:pPr>
        <w:spacing w:after="0" w:line="146" w:lineRule="exact"/>
        <w:rPr>
          <w:rFonts w:ascii="Times New Roman" w:cs="Times New Roman" w:eastAsia="Times New Roman" w:hAnsi="Times New Roman"/>
          <w:sz w:val="15"/>
          <w:szCs w:val="15"/>
          <w:color w:val="auto"/>
        </w:rPr>
      </w:pPr>
    </w:p>
    <w:p>
      <w:pPr>
        <w:ind w:right="260" w:firstLine="541"/>
        <w:spacing w:after="0" w:line="290" w:lineRule="auto"/>
        <w:tabs>
          <w:tab w:leader="none" w:pos="842"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shall the Trustee be liable for special, indirect or consequential loss or damage of any kind whatsoever (including but not limited to lost profits) even if the Trustee has been advised of the likelihood of such loss or damage and regardless of the form of action; and</w:t>
      </w:r>
    </w:p>
    <w:p>
      <w:pPr>
        <w:spacing w:after="0" w:line="132" w:lineRule="exact"/>
        <w:rPr>
          <w:rFonts w:ascii="Times New Roman" w:cs="Times New Roman" w:eastAsia="Times New Roman" w:hAnsi="Times New Roman"/>
          <w:sz w:val="15"/>
          <w:szCs w:val="15"/>
          <w:color w:val="auto"/>
        </w:rPr>
      </w:pPr>
    </w:p>
    <w:p>
      <w:pPr>
        <w:ind w:firstLine="541"/>
        <w:spacing w:after="0" w:line="266" w:lineRule="auto"/>
        <w:tabs>
          <w:tab w:leader="none" w:pos="842"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6.3 </w:t>
      </w:r>
      <w:r>
        <w:rPr>
          <w:rFonts w:ascii="Times New Roman" w:cs="Times New Roman" w:eastAsia="Times New Roman" w:hAnsi="Times New Roman"/>
          <w:sz w:val="15"/>
          <w:szCs w:val="15"/>
          <w:u w:val="single" w:color="auto"/>
          <w:color w:val="auto"/>
        </w:rPr>
        <w:t>Notice of Defaults</w:t>
      </w:r>
    </w:p>
    <w:p>
      <w:pPr>
        <w:spacing w:after="0" w:line="194" w:lineRule="exact"/>
        <w:rPr>
          <w:sz w:val="20"/>
          <w:szCs w:val="20"/>
          <w:color w:val="auto"/>
        </w:rPr>
      </w:pPr>
    </w:p>
    <w:p>
      <w:pPr>
        <w:ind w:firstLine="549"/>
        <w:spacing w:after="0" w:line="259" w:lineRule="auto"/>
        <w:rPr>
          <w:sz w:val="20"/>
          <w:szCs w:val="20"/>
          <w:color w:val="auto"/>
        </w:rPr>
      </w:pPr>
      <w:r>
        <w:rPr>
          <w:rFonts w:ascii="Times New Roman" w:cs="Times New Roman" w:eastAsia="Times New Roman" w:hAnsi="Times New Roman"/>
          <w:sz w:val="15"/>
          <w:szCs w:val="15"/>
          <w:color w:val="auto"/>
        </w:rPr>
        <w:t>Within 90 days after the occurrence of any default hereunder with respect to the Securities of any series of which a Responsible Officer has actual knowledge, the Trustee shall give the Holders of Securities of such series entitled to receive reports pursuant to Section 7.3, notice of such default hereunder actually known to a Responsible Officer, unless such default shall have been cured or waived; provided, however, that, except in the case of a default in the payment of the principal of (or premium, if any), or interest, if any, on, or Additional Amounts or any sinking fund or purchase fund installment with respect to, any Security of such series, the Trustee shall be protected in withholding such notice if and so long as the board of directors, the executive committee or a trust committee of directors and/or Responsible Officers in good faith determine that the withholding of such notice is in the best interest of the Holders of Securities of such series; and provided, further, that in the case of any default of the character specified in Section 5.1(4) with respect to Securities of such series, no such notice to Holders shall be given until at least 30 days after the occurrence thereof. For the purpose of this Section, the term “default” means any event that is, or after notice or lapse of time or both would become, an Event of Default with respect to Securities of such series.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51" w:name="page152"/>
    <w:bookmarkEnd w:id="151"/>
    <w:p>
      <w:pPr>
        <w:ind w:left="540"/>
        <w:spacing w:after="0"/>
        <w:rPr>
          <w:sz w:val="20"/>
          <w:szCs w:val="20"/>
          <w:color w:val="auto"/>
        </w:rPr>
      </w:pPr>
      <w:r>
        <w:rPr>
          <w:rFonts w:ascii="Times New Roman" w:cs="Times New Roman" w:eastAsia="Times New Roman" w:hAnsi="Times New Roman"/>
          <w:sz w:val="15"/>
          <w:szCs w:val="15"/>
          <w:color w:val="auto"/>
        </w:rPr>
        <w:t xml:space="preserve">Section 6.4 </w:t>
      </w:r>
      <w:r>
        <w:rPr>
          <w:rFonts w:ascii="Times New Roman" w:cs="Times New Roman" w:eastAsia="Times New Roman" w:hAnsi="Times New Roman"/>
          <w:sz w:val="15"/>
          <w:szCs w:val="15"/>
          <w:u w:val="single" w:color="auto"/>
          <w:color w:val="auto"/>
        </w:rPr>
        <w:t>Not Responsible for Recitals or Issuance of Securities</w:t>
      </w:r>
    </w:p>
    <w:p>
      <w:pPr>
        <w:spacing w:after="0" w:line="194" w:lineRule="exact"/>
        <w:rPr>
          <w:sz w:val="20"/>
          <w:szCs w:val="20"/>
          <w:color w:val="auto"/>
        </w:rPr>
      </w:pPr>
    </w:p>
    <w:p>
      <w:pPr>
        <w:ind w:right="40" w:firstLine="549"/>
        <w:spacing w:after="0" w:line="263" w:lineRule="auto"/>
        <w:rPr>
          <w:sz w:val="20"/>
          <w:szCs w:val="20"/>
          <w:color w:val="auto"/>
        </w:rPr>
      </w:pPr>
      <w:r>
        <w:rPr>
          <w:rFonts w:ascii="Times New Roman" w:cs="Times New Roman" w:eastAsia="Times New Roman" w:hAnsi="Times New Roman"/>
          <w:sz w:val="15"/>
          <w:szCs w:val="15"/>
          <w:color w:val="auto"/>
        </w:rPr>
        <w:t>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the Securities or the proceeds thereof. Except with respect to the authentication of Securities pursuant to Section 3.3, the Trustee shall not be responsible for the legality or the validity of this Indenture or any Securities issued or to be issued hereunder.</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6.5 </w:t>
      </w:r>
      <w:r>
        <w:rPr>
          <w:rFonts w:ascii="Times New Roman" w:cs="Times New Roman" w:eastAsia="Times New Roman" w:hAnsi="Times New Roman"/>
          <w:sz w:val="15"/>
          <w:szCs w:val="15"/>
          <w:u w:val="single" w:color="auto"/>
          <w:color w:val="auto"/>
        </w:rPr>
        <w:t>May Hold Securities</w:t>
      </w:r>
    </w:p>
    <w:p>
      <w:pPr>
        <w:spacing w:after="0" w:line="194" w:lineRule="exact"/>
        <w:rPr>
          <w:sz w:val="20"/>
          <w:szCs w:val="20"/>
          <w:color w:val="auto"/>
        </w:rPr>
      </w:pPr>
    </w:p>
    <w:p>
      <w:pPr>
        <w:jc w:val="both"/>
        <w:ind w:right="60" w:firstLine="549"/>
        <w:spacing w:after="0" w:line="272" w:lineRule="auto"/>
        <w:rPr>
          <w:sz w:val="20"/>
          <w:szCs w:val="20"/>
          <w:color w:val="auto"/>
        </w:rPr>
      </w:pPr>
      <w:r>
        <w:rPr>
          <w:rFonts w:ascii="Times New Roman" w:cs="Times New Roman" w:eastAsia="Times New Roman" w:hAnsi="Times New Roman"/>
          <w:sz w:val="15"/>
          <w:szCs w:val="15"/>
          <w:color w:val="auto"/>
        </w:rPr>
        <w:t>The Trustee, any Authenticating Agent, any Paying Agent, any Security Registrar or any other Person that may be an agent of the Trustee or the Company, in its individual or any other capacity, may become the owner or pledgee of Securities and, subject to Sections 310(b) and 311 of the Trust Indenture Act, may otherwise deal with the Company with the same rights it would have if it were not the Trustee, Authenticating Agent, Paying Agent, Security Registrar or such other Person.</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6.6 </w:t>
      </w:r>
      <w:r>
        <w:rPr>
          <w:rFonts w:ascii="Times New Roman" w:cs="Times New Roman" w:eastAsia="Times New Roman" w:hAnsi="Times New Roman"/>
          <w:sz w:val="15"/>
          <w:szCs w:val="15"/>
          <w:u w:val="single" w:color="auto"/>
          <w:color w:val="auto"/>
        </w:rPr>
        <w:t>Money Held in Trust</w:t>
      </w:r>
    </w:p>
    <w:p>
      <w:pPr>
        <w:spacing w:after="0" w:line="194" w:lineRule="exact"/>
        <w:rPr>
          <w:sz w:val="20"/>
          <w:szCs w:val="20"/>
          <w:color w:val="auto"/>
        </w:rPr>
      </w:pPr>
    </w:p>
    <w:p>
      <w:pPr>
        <w:ind w:right="120" w:firstLine="549"/>
        <w:spacing w:after="0" w:line="290" w:lineRule="auto"/>
        <w:rPr>
          <w:sz w:val="20"/>
          <w:szCs w:val="20"/>
          <w:color w:val="auto"/>
        </w:rPr>
      </w:pPr>
      <w:r>
        <w:rPr>
          <w:rFonts w:ascii="Times New Roman" w:cs="Times New Roman" w:eastAsia="Times New Roman" w:hAnsi="Times New Roman"/>
          <w:sz w:val="15"/>
          <w:szCs w:val="15"/>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6.7 </w:t>
      </w:r>
      <w:r>
        <w:rPr>
          <w:rFonts w:ascii="Times New Roman" w:cs="Times New Roman" w:eastAsia="Times New Roman" w:hAnsi="Times New Roman"/>
          <w:sz w:val="15"/>
          <w:szCs w:val="15"/>
          <w:u w:val="single" w:color="auto"/>
          <w:color w:val="auto"/>
        </w:rPr>
        <w:t>Compensation and Reimbursement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agrees:</w:t>
      </w:r>
    </w:p>
    <w:p>
      <w:pPr>
        <w:spacing w:after="0" w:line="194" w:lineRule="exact"/>
        <w:rPr>
          <w:sz w:val="20"/>
          <w:szCs w:val="20"/>
          <w:color w:val="auto"/>
        </w:rPr>
      </w:pPr>
    </w:p>
    <w:p>
      <w:pPr>
        <w:ind w:right="380" w:firstLine="541"/>
        <w:spacing w:after="0" w:line="290" w:lineRule="auto"/>
        <w:tabs>
          <w:tab w:leader="none" w:pos="766"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pay to the Trustee from time to time such compensation as shall be agreed upon from time to time in writing between the Company and the Trustee for all services rendered by the Trustee hereunder (which compensation shall not be limited by any provision of law in regard to the compensation of a trustee of an express trust);</w:t>
      </w:r>
    </w:p>
    <w:p>
      <w:pPr>
        <w:spacing w:after="0" w:line="132" w:lineRule="exact"/>
        <w:rPr>
          <w:rFonts w:ascii="Times New Roman" w:cs="Times New Roman" w:eastAsia="Times New Roman" w:hAnsi="Times New Roman"/>
          <w:sz w:val="15"/>
          <w:szCs w:val="15"/>
          <w:color w:val="auto"/>
        </w:rPr>
      </w:pPr>
    </w:p>
    <w:p>
      <w:pPr>
        <w:ind w:firstLine="541"/>
        <w:spacing w:after="0" w:line="266" w:lineRule="auto"/>
        <w:tabs>
          <w:tab w:leader="none" w:pos="766"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expressly provided herein, to reimburse the Trustee upon its request for all reasonable expenses, disbursements and advances incurred or made by the Trustee in accordance with any provision of this Indenture arising out of or in connection with the acceptance or administration of the trust or trusts hereunder (including the reasonable compensation and the expenses and disbursements of its agents and counsel), except any such expense, disbursement or advance as may be caused by the Trustee’s own negligence or willful misconduct; and</w:t>
      </w:r>
    </w:p>
    <w:p>
      <w:pPr>
        <w:spacing w:after="0" w:line="151" w:lineRule="exact"/>
        <w:rPr>
          <w:rFonts w:ascii="Times New Roman" w:cs="Times New Roman" w:eastAsia="Times New Roman" w:hAnsi="Times New Roman"/>
          <w:sz w:val="15"/>
          <w:szCs w:val="15"/>
          <w:color w:val="auto"/>
        </w:rPr>
      </w:pPr>
    </w:p>
    <w:p>
      <w:pPr>
        <w:ind w:firstLine="541"/>
        <w:spacing w:after="0" w:line="263" w:lineRule="auto"/>
        <w:tabs>
          <w:tab w:leader="none" w:pos="766"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fully indemnify each of the Trustee and any predecessor Trustee and its agents, officers, directors and employees for, and to hold them harmless against, any loss, liability, damage, claim or expense (including reasonable legal fees and expenses), including taxes (other than taxes based on the income of the Trustee), incurred without negligence or willful misconduct on their part, arising out of or in connection with the acceptance or administration of the trust or trusts hereunder, including the reasonable costs and expenses of defending themselves against any claim or liability (whether asserted by the Company, a Holder of Securities, or any other Person) in connection with the exercise or performance of any of their powers or duties hereunder.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52" w:name="page153"/>
    <w:bookmarkEnd w:id="152"/>
    <w:p>
      <w:pPr>
        <w:ind w:right="20" w:firstLine="549"/>
        <w:spacing w:after="0" w:line="261" w:lineRule="auto"/>
        <w:rPr>
          <w:sz w:val="20"/>
          <w:szCs w:val="20"/>
          <w:color w:val="auto"/>
        </w:rPr>
      </w:pPr>
      <w:r>
        <w:rPr>
          <w:rFonts w:ascii="Times New Roman" w:cs="Times New Roman" w:eastAsia="Times New Roman" w:hAnsi="Times New Roman"/>
          <w:sz w:val="15"/>
          <w:szCs w:val="15"/>
          <w:color w:val="auto"/>
        </w:rPr>
        <w:t>As security for the performance of the payment obligations of the Company under this Section 6.7, the Trustee shall have a lien prior to the Securities of any series upon all property and funds held or collected by the Trustee as such, except funds held in trust for the payment of principal of, and premium or interest on, or any Additional Amounts with respect to, particular Securities. Such lien shall survive the resignation or removal of the Trustee and the satisfaction and discharge of this Indenture. Without prejudice to any other rights available to the Trustee under applicable law, when the Trustee incurs expenses or renders services after a default or Event of Default specified in Section 5.1(5) and 5.1(6) hereof occurs, the expenses and the compensation for the services (including the fees and expense of its agents and counsel) are intended to constitute expense of administration under U.S. Code, Title 11 or any other similar foreign, federal or state law for the relief of debtors.</w:t>
      </w:r>
    </w:p>
    <w:p>
      <w:pPr>
        <w:spacing w:after="0" w:line="157" w:lineRule="exact"/>
        <w:rPr>
          <w:sz w:val="20"/>
          <w:szCs w:val="20"/>
          <w:color w:val="auto"/>
        </w:rPr>
      </w:pPr>
    </w:p>
    <w:p>
      <w:pPr>
        <w:jc w:val="both"/>
        <w:ind w:right="80" w:firstLine="549"/>
        <w:spacing w:after="0" w:line="272" w:lineRule="auto"/>
        <w:rPr>
          <w:sz w:val="20"/>
          <w:szCs w:val="20"/>
          <w:color w:val="auto"/>
        </w:rPr>
      </w:pPr>
      <w:r>
        <w:rPr>
          <w:rFonts w:ascii="Times New Roman" w:cs="Times New Roman" w:eastAsia="Times New Roman" w:hAnsi="Times New Roman"/>
          <w:sz w:val="15"/>
          <w:szCs w:val="15"/>
          <w:color w:val="auto"/>
        </w:rPr>
        <w:t>Without prejudice to any other rights available to the Trustee under applicable law, to the extent permitted by law any compensation or expense incurred by the Trustee after a default specified in or pursuant to Section 5.1 is intended to constitute an expense of administration under any then applicable bankruptcy or insolvency law. “</w:t>
      </w:r>
      <w:r>
        <w:rPr>
          <w:rFonts w:ascii="Times New Roman" w:cs="Times New Roman" w:eastAsia="Times New Roman" w:hAnsi="Times New Roman"/>
          <w:sz w:val="15"/>
          <w:szCs w:val="15"/>
          <w:u w:val="single" w:color="auto"/>
          <w:color w:val="auto"/>
        </w:rPr>
        <w:t>Trustee</w:t>
      </w:r>
      <w:r>
        <w:rPr>
          <w:rFonts w:ascii="Times New Roman" w:cs="Times New Roman" w:eastAsia="Times New Roman" w:hAnsi="Times New Roman"/>
          <w:sz w:val="15"/>
          <w:szCs w:val="15"/>
          <w:color w:val="auto"/>
        </w:rPr>
        <w:t>” for purposes of this Section 6.7 shall include any predecessor Trustee but the negligence or willful misconduct of any Trustee shall not affect the rights of any other Trustee under this Section 6.7.</w:t>
      </w:r>
    </w:p>
    <w:p>
      <w:pPr>
        <w:spacing w:after="0" w:line="146" w:lineRule="exact"/>
        <w:rPr>
          <w:sz w:val="20"/>
          <w:szCs w:val="20"/>
          <w:color w:val="auto"/>
        </w:rPr>
      </w:pPr>
    </w:p>
    <w:p>
      <w:pPr>
        <w:ind w:right="600" w:firstLine="549"/>
        <w:spacing w:after="0" w:line="290" w:lineRule="auto"/>
        <w:rPr>
          <w:sz w:val="20"/>
          <w:szCs w:val="20"/>
          <w:color w:val="auto"/>
        </w:rPr>
      </w:pPr>
      <w:r>
        <w:rPr>
          <w:rFonts w:ascii="Times New Roman" w:cs="Times New Roman" w:eastAsia="Times New Roman" w:hAnsi="Times New Roman"/>
          <w:sz w:val="15"/>
          <w:szCs w:val="15"/>
          <w:color w:val="auto"/>
        </w:rPr>
        <w:t>Notwithstanding any other provision of this Indenture to the contrary, in no event shall the Trustee be liable for special, indirect or consequential damages of any kind whatsoever (including but not limited to lost profits) even if the Trustee had been advised of the likelihood of such loss or damage and regardless of the form of action.</w:t>
      </w:r>
    </w:p>
    <w:p>
      <w:pPr>
        <w:spacing w:after="0" w:line="133" w:lineRule="exact"/>
        <w:rPr>
          <w:sz w:val="20"/>
          <w:szCs w:val="20"/>
          <w:color w:val="auto"/>
        </w:rPr>
      </w:pPr>
    </w:p>
    <w:p>
      <w:pPr>
        <w:ind w:right="200" w:firstLine="549"/>
        <w:spacing w:after="0" w:line="290" w:lineRule="auto"/>
        <w:rPr>
          <w:sz w:val="20"/>
          <w:szCs w:val="20"/>
          <w:color w:val="auto"/>
        </w:rPr>
      </w:pPr>
      <w:r>
        <w:rPr>
          <w:rFonts w:ascii="Times New Roman" w:cs="Times New Roman" w:eastAsia="Times New Roman" w:hAnsi="Times New Roman"/>
          <w:sz w:val="15"/>
          <w:szCs w:val="15"/>
          <w:color w:val="auto"/>
        </w:rPr>
        <w:t>The provisions of this Section 6.7 shall survive the satisfaction and discharge of this Indenture or the earlier resignation or removal of the Trustee and shall apply with equal force and effect to the Trustee in its capacity as Authenticating Agent, Paying Agent or Security Registrar.</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6.8 </w:t>
      </w:r>
      <w:r>
        <w:rPr>
          <w:rFonts w:ascii="Times New Roman" w:cs="Times New Roman" w:eastAsia="Times New Roman" w:hAnsi="Times New Roman"/>
          <w:sz w:val="15"/>
          <w:szCs w:val="15"/>
          <w:u w:val="single" w:color="auto"/>
          <w:color w:val="auto"/>
        </w:rPr>
        <w:t>Corporate Trustee Required; Eligibility; Conflicting Interests</w:t>
      </w:r>
    </w:p>
    <w:p>
      <w:pPr>
        <w:spacing w:after="0" w:line="194" w:lineRule="exact"/>
        <w:rPr>
          <w:sz w:val="20"/>
          <w:szCs w:val="20"/>
          <w:color w:val="auto"/>
        </w:rPr>
      </w:pPr>
    </w:p>
    <w:p>
      <w:pPr>
        <w:ind w:right="100" w:firstLine="549"/>
        <w:spacing w:after="0" w:line="263" w:lineRule="auto"/>
        <w:rPr>
          <w:sz w:val="20"/>
          <w:szCs w:val="20"/>
          <w:color w:val="auto"/>
        </w:rPr>
      </w:pPr>
      <w:r>
        <w:rPr>
          <w:rFonts w:ascii="Times New Roman" w:cs="Times New Roman" w:eastAsia="Times New Roman" w:hAnsi="Times New Roman"/>
          <w:sz w:val="15"/>
          <w:szCs w:val="15"/>
          <w:color w:val="auto"/>
        </w:rPr>
        <w:t>There shall at all times be a Trustee hereunder that is a Corporation or a national banking association, organized and doing business under the laws of the United States of America, any state thereof or the District of Columbia, eligible under Section 310(a)(1) of the Trust Indenture Act to act as trustee under an indenture qualified under the Trust Indenture Act and that has a combined capital and surplus (computed in accordance with Section 310(a)(2) of the Trust Indenture Act) of at least $50,000,000 subject to supervision or examination by federal or state authority. If at any time the Trustee shall cease to be eligible in accordance with the provisions of this Section 6.8, it shall resign immediately in the manner and with the effect hereinafter specified in this Article 6.</w:t>
      </w:r>
    </w:p>
    <w:p>
      <w:pPr>
        <w:spacing w:after="0" w:line="154" w:lineRule="exact"/>
        <w:rPr>
          <w:sz w:val="20"/>
          <w:szCs w:val="20"/>
          <w:color w:val="auto"/>
        </w:rPr>
      </w:pPr>
    </w:p>
    <w:p>
      <w:pPr>
        <w:ind w:firstLine="549"/>
        <w:spacing w:after="0" w:line="272" w:lineRule="auto"/>
        <w:rPr>
          <w:sz w:val="20"/>
          <w:szCs w:val="20"/>
          <w:color w:val="auto"/>
        </w:rPr>
      </w:pPr>
      <w:r>
        <w:rPr>
          <w:rFonts w:ascii="Times New Roman" w:cs="Times New Roman" w:eastAsia="Times New Roman" w:hAnsi="Times New Roman"/>
          <w:sz w:val="15"/>
          <w:szCs w:val="15"/>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53" w:name="page154"/>
    <w:bookmarkEnd w:id="153"/>
    <w:p>
      <w:pPr>
        <w:ind w:left="540"/>
        <w:spacing w:after="0"/>
        <w:rPr>
          <w:sz w:val="20"/>
          <w:szCs w:val="20"/>
          <w:color w:val="auto"/>
        </w:rPr>
      </w:pPr>
      <w:r>
        <w:rPr>
          <w:rFonts w:ascii="Times New Roman" w:cs="Times New Roman" w:eastAsia="Times New Roman" w:hAnsi="Times New Roman"/>
          <w:sz w:val="15"/>
          <w:szCs w:val="15"/>
          <w:color w:val="auto"/>
        </w:rPr>
        <w:t xml:space="preserve">Section 6.9 </w:t>
      </w:r>
      <w:r>
        <w:rPr>
          <w:rFonts w:ascii="Times New Roman" w:cs="Times New Roman" w:eastAsia="Times New Roman" w:hAnsi="Times New Roman"/>
          <w:sz w:val="15"/>
          <w:szCs w:val="15"/>
          <w:u w:val="single" w:color="auto"/>
          <w:color w:val="auto"/>
        </w:rPr>
        <w:t>Resignation and Removal; Appointment of Successor</w:t>
      </w:r>
    </w:p>
    <w:p>
      <w:pPr>
        <w:spacing w:after="0" w:line="194" w:lineRule="exact"/>
        <w:rPr>
          <w:sz w:val="20"/>
          <w:szCs w:val="20"/>
          <w:color w:val="auto"/>
        </w:rPr>
      </w:pPr>
    </w:p>
    <w:p>
      <w:pPr>
        <w:ind w:firstLine="541"/>
        <w:spacing w:after="0" w:line="290" w:lineRule="auto"/>
        <w:tabs>
          <w:tab w:leader="none" w:pos="766"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resignation or removal of the Trustee and no appointment of a successor Trustee pursuant to this Article 6 shall become effective until the acceptance of appointment by the successor Trustee pursuant to Section 6.10.</w:t>
      </w:r>
    </w:p>
    <w:p>
      <w:pPr>
        <w:spacing w:after="0" w:line="132" w:lineRule="exact"/>
        <w:rPr>
          <w:rFonts w:ascii="Times New Roman" w:cs="Times New Roman" w:eastAsia="Times New Roman" w:hAnsi="Times New Roman"/>
          <w:sz w:val="15"/>
          <w:szCs w:val="15"/>
          <w:color w:val="auto"/>
        </w:rPr>
      </w:pPr>
    </w:p>
    <w:p>
      <w:pPr>
        <w:ind w:right="80" w:firstLine="541"/>
        <w:spacing w:after="0" w:line="272" w:lineRule="auto"/>
        <w:tabs>
          <w:tab w:leader="none" w:pos="766"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resign at any time with respect to the Securities of one or more series by giving written notice thereof to the Company. If the instrument of acceptance by a successor Trustee required by Section 6.10 shall not have been delivered to the Trustee within 30 days after the giving of such notice of resignation, the resigning Trustee may petition, at the expense of the Company, any court of competent jurisdiction for the appointment of a successor Trustee with respect to such series.</w:t>
      </w:r>
    </w:p>
    <w:p>
      <w:pPr>
        <w:spacing w:after="0" w:line="146" w:lineRule="exact"/>
        <w:rPr>
          <w:rFonts w:ascii="Times New Roman" w:cs="Times New Roman" w:eastAsia="Times New Roman" w:hAnsi="Times New Roman"/>
          <w:sz w:val="15"/>
          <w:szCs w:val="15"/>
          <w:color w:val="auto"/>
        </w:rPr>
      </w:pPr>
    </w:p>
    <w:p>
      <w:pPr>
        <w:ind w:right="140" w:firstLine="541"/>
        <w:spacing w:after="0" w:line="263" w:lineRule="auto"/>
        <w:tabs>
          <w:tab w:leader="none" w:pos="766"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be removed at any time with respect to the Securities of any series by Act of the Holders of a majority in principal amount of the Outstanding Securities of such series, delivered to the Trustee and the Company. If the instrument of acceptance by a successor Trustee required by Section 6.10 shall not have been delivered to the Trustee within 30 days after the giving of such notice of removal, the Trustee being removed may petition, at the expense of the Company, any court of competent jurisdiction for the appointment of a successor Trustee with respect to such series. The Trustee for one or more series of Securities may be removed by the Company, so long as no default or Event of Default has occurred and is continuing with respect to such series.</w:t>
      </w:r>
    </w:p>
    <w:p>
      <w:pPr>
        <w:spacing w:after="0" w:line="15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at any time:</w:t>
      </w:r>
    </w:p>
    <w:p>
      <w:pPr>
        <w:spacing w:after="0" w:line="193" w:lineRule="exact"/>
        <w:rPr>
          <w:rFonts w:ascii="Times New Roman" w:cs="Times New Roman" w:eastAsia="Times New Roman" w:hAnsi="Times New Roman"/>
          <w:sz w:val="15"/>
          <w:szCs w:val="15"/>
          <w:color w:val="auto"/>
        </w:rPr>
      </w:pPr>
    </w:p>
    <w:p>
      <w:pPr>
        <w:ind w:right="120" w:firstLine="1091"/>
        <w:spacing w:after="0" w:line="290" w:lineRule="auto"/>
        <w:tabs>
          <w:tab w:leader="none" w:pos="1306" w:val="left"/>
        </w:tabs>
        <w:numPr>
          <w:ilvl w:val="1"/>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fail to comply with the obligations imposed upon it under Section 310(b) of the Trust Indenture Act with respect to Securities of any series after written request therefor by the Company or any Holder of a Security of such series who has been a bona fide Holder of a Security of such series for at least six months;</w:t>
      </w:r>
    </w:p>
    <w:p>
      <w:pPr>
        <w:spacing w:after="0" w:line="132" w:lineRule="exact"/>
        <w:rPr>
          <w:rFonts w:ascii="Times New Roman" w:cs="Times New Roman" w:eastAsia="Times New Roman" w:hAnsi="Times New Roman"/>
          <w:sz w:val="15"/>
          <w:szCs w:val="15"/>
          <w:color w:val="auto"/>
        </w:rPr>
      </w:pPr>
    </w:p>
    <w:p>
      <w:pPr>
        <w:ind w:left="1300" w:hanging="209"/>
        <w:spacing w:after="0"/>
        <w:tabs>
          <w:tab w:leader="none" w:pos="1300" w:val="left"/>
        </w:tabs>
        <w:numPr>
          <w:ilvl w:val="1"/>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cease to be eligible under Section 6.8 and shall fail to resign after written request therefor by the Company or any such Holder; or</w:t>
      </w:r>
    </w:p>
    <w:p>
      <w:pPr>
        <w:spacing w:after="0" w:line="193" w:lineRule="exact"/>
        <w:rPr>
          <w:rFonts w:ascii="Times New Roman" w:cs="Times New Roman" w:eastAsia="Times New Roman" w:hAnsi="Times New Roman"/>
          <w:sz w:val="15"/>
          <w:szCs w:val="15"/>
          <w:color w:val="auto"/>
        </w:rPr>
      </w:pPr>
    </w:p>
    <w:p>
      <w:pPr>
        <w:ind w:right="300" w:firstLine="1091"/>
        <w:spacing w:after="0" w:line="290" w:lineRule="auto"/>
        <w:tabs>
          <w:tab w:leader="none" w:pos="1306" w:val="left"/>
        </w:tabs>
        <w:numPr>
          <w:ilvl w:val="1"/>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then, in any such case,</w:t>
      </w:r>
    </w:p>
    <w:p>
      <w:pPr>
        <w:spacing w:after="0" w:line="194" w:lineRule="exact"/>
        <w:rPr>
          <w:sz w:val="20"/>
          <w:szCs w:val="20"/>
          <w:color w:val="auto"/>
        </w:rPr>
      </w:pPr>
    </w:p>
    <w:p>
      <w:pPr>
        <w:ind w:left="1820" w:hanging="180"/>
        <w:spacing w:after="0"/>
        <w:tabs>
          <w:tab w:leader="none" w:pos="182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by or pursuant to a Company Order, may remove the Trustee with respect to all Securities or the Securities of such series; or</w:t>
      </w:r>
    </w:p>
    <w:p>
      <w:pPr>
        <w:spacing w:after="0" w:line="193" w:lineRule="exact"/>
        <w:rPr>
          <w:rFonts w:ascii="Times New Roman" w:cs="Times New Roman" w:eastAsia="Times New Roman" w:hAnsi="Times New Roman"/>
          <w:sz w:val="15"/>
          <w:szCs w:val="15"/>
          <w:color w:val="auto"/>
        </w:rPr>
      </w:pPr>
    </w:p>
    <w:p>
      <w:pPr>
        <w:ind w:right="60" w:firstLine="1640"/>
        <w:spacing w:after="0" w:line="272" w:lineRule="auto"/>
        <w:tabs>
          <w:tab w:leader="none" w:pos="1873"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5.15, any Holder of a Security who has been a bona fide Holder of a Security of such series for at least six months may, on behalf of himself and all others similarly situated, petition any court of competent jurisdiction for the removal of the Trustee with respect to all Securities of such series and the appointment of a successor Trustee or Trustees.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54" w:name="page155"/>
    <w:bookmarkEnd w:id="154"/>
    <w:p>
      <w:pPr>
        <w:ind w:left="-20" w:right="20" w:firstLine="541"/>
        <w:spacing w:after="0" w:line="258" w:lineRule="auto"/>
        <w:tabs>
          <w:tab w:leader="none" w:pos="746"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Trustee shall resign, be removed or become incapable of acting, or if a vacancy shall occur in the office of Trustee for any cause, with respect to the Securities of one or more series, the Company, by or pursuant to a Company Order, shall promptly appoint a successor Trustee or Trustees with respect to the Securities of such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6.10. If, within one year after such resignation, removal or incapacity,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6.10,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required by Section 6.10,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60" w:lineRule="exact"/>
        <w:rPr>
          <w:rFonts w:ascii="Times New Roman" w:cs="Times New Roman" w:eastAsia="Times New Roman" w:hAnsi="Times New Roman"/>
          <w:sz w:val="15"/>
          <w:szCs w:val="15"/>
          <w:color w:val="auto"/>
        </w:rPr>
      </w:pPr>
    </w:p>
    <w:p>
      <w:pPr>
        <w:ind w:left="-20" w:firstLine="541"/>
        <w:spacing w:after="0" w:line="272" w:lineRule="auto"/>
        <w:tabs>
          <w:tab w:leader="none" w:pos="746"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6" w:lineRule="exact"/>
        <w:rPr>
          <w:rFonts w:ascii="Times New Roman" w:cs="Times New Roman" w:eastAsia="Times New Roman" w:hAnsi="Times New Roman"/>
          <w:sz w:val="15"/>
          <w:szCs w:val="15"/>
          <w:color w:val="auto"/>
        </w:rPr>
      </w:pPr>
    </w:p>
    <w:p>
      <w:pPr>
        <w:ind w:left="740" w:hanging="219"/>
        <w:spacing w:after="0"/>
        <w:tabs>
          <w:tab w:leader="none" w:pos="74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no event shall any retiring Trustee be liable for the acts or omissions of any successor Trustee hereunder.</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5"/>
          <w:szCs w:val="15"/>
          <w:color w:val="auto"/>
        </w:rPr>
        <w:t xml:space="preserve">Section 6.10 </w:t>
      </w:r>
      <w:r>
        <w:rPr>
          <w:rFonts w:ascii="Times New Roman" w:cs="Times New Roman" w:eastAsia="Times New Roman" w:hAnsi="Times New Roman"/>
          <w:sz w:val="15"/>
          <w:szCs w:val="15"/>
          <w:u w:val="single" w:color="auto"/>
          <w:color w:val="auto"/>
        </w:rPr>
        <w:t>Acceptance of Appointment by Successor</w:t>
      </w:r>
    </w:p>
    <w:p>
      <w:pPr>
        <w:spacing w:after="0" w:line="194" w:lineRule="exact"/>
        <w:rPr>
          <w:sz w:val="20"/>
          <w:szCs w:val="20"/>
          <w:color w:val="auto"/>
        </w:rPr>
      </w:pPr>
    </w:p>
    <w:p>
      <w:pPr>
        <w:ind w:left="-20" w:firstLine="541"/>
        <w:spacing w:after="0" w:line="261" w:lineRule="auto"/>
        <w:tabs>
          <w:tab w:leader="none" w:pos="746" w:val="left"/>
        </w:tabs>
        <w:numPr>
          <w:ilvl w:val="0"/>
          <w:numId w:val="1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appointment hereunder of any successor Trustee with respect to all Securities, such successor Trustee so appointed shall execute, acknowledge and deliver to the Company and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hereunder of the retiring Trustee; but, on the request of the Company or such successor Trustee, such retiring Trustee, upon payment of its charges, shall execute and deliver an instrument transferring to such successor Trustee all the rights, powers and trusts of the retiring Trustee and, subject to Section 10.3, shall duly assign, transfer and deliver to such successor Trustee all property and money held by such retiring Trustee hereunder, subject nevertheless to its lien, if any, provided for in Section 6.7.</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15875</wp:posOffset>
            </wp:positionV>
            <wp:extent cx="7153275"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40" w:top="789" w:right="359" w:bottom="1440" w:gutter="0" w:footer="0" w:header="0"/>
        </w:sectPr>
      </w:pPr>
    </w:p>
    <w:bookmarkStart w:id="155" w:name="page156"/>
    <w:bookmarkEnd w:id="155"/>
    <w:p>
      <w:pPr>
        <w:ind w:right="20" w:firstLine="541"/>
        <w:spacing w:after="0" w:line="257" w:lineRule="auto"/>
        <w:tabs>
          <w:tab w:leader="none" w:pos="766"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appointment hereunder of any successor Trustee with respect to the Securities of one or more (but not all) series, the Company, the retiring Trustee and such successor Trustee shall execute and deliver an indenture supplemental hereto wherein each successor Trustee shall accept such appointment and which (a) shall contain such provisions as shall be necessary or desirable to transfer and confirm to, and to vest in, such successor Trustee all the rights, powers, trusts and duties of the retiring Trustee with respect to the Securities of that or those series to which the appointment of such successor Trustee relates, (b)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(c)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notice given to, or received by, or any act or failure to act on the part of any other Trustee hereunder, and, upon the execution and delivery of such supplemental indenture, the resignation or removal of the retiring Trustee shall become effective to the extent provided therein, such retiring Trustee shall have no further responsibility for the exercise of rights and powers or for the performance of the duties and obligations vested in the Trustee under this Indenture with respect to the Securities of that or those series to which the appointment of such successor Trustee relates other than as hereinafter expressly set forth, and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such successor Trustee, such retiring Trustee, upon payment of its charges with respect to the Securities of that or those series to which the appointment of such successor Trustee relates and subject to Section 10.3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subject to its lien, if any, provided for in Section 6.7.</w:t>
      </w:r>
    </w:p>
    <w:p>
      <w:pPr>
        <w:spacing w:after="0" w:line="156" w:lineRule="exact"/>
        <w:rPr>
          <w:rFonts w:ascii="Times New Roman" w:cs="Times New Roman" w:eastAsia="Times New Roman" w:hAnsi="Times New Roman"/>
          <w:sz w:val="15"/>
          <w:szCs w:val="15"/>
          <w:color w:val="auto"/>
        </w:rPr>
      </w:pPr>
    </w:p>
    <w:p>
      <w:pPr>
        <w:ind w:right="320" w:firstLine="541"/>
        <w:spacing w:after="0" w:line="290" w:lineRule="auto"/>
        <w:tabs>
          <w:tab w:leader="none" w:pos="766"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request of any Person appointed hereunder as a successor Trustee, the Company shall execute any and all instruments for more fully and certainly vesting in and confirming to such successor Trustee all such rights, powers and trusts.</w:t>
      </w:r>
    </w:p>
    <w:p>
      <w:pPr>
        <w:spacing w:after="0" w:line="132" w:lineRule="exact"/>
        <w:rPr>
          <w:rFonts w:ascii="Times New Roman" w:cs="Times New Roman" w:eastAsia="Times New Roman" w:hAnsi="Times New Roman"/>
          <w:sz w:val="15"/>
          <w:szCs w:val="15"/>
          <w:color w:val="auto"/>
        </w:rPr>
      </w:pPr>
    </w:p>
    <w:p>
      <w:pPr>
        <w:ind w:right="160" w:firstLine="541"/>
        <w:spacing w:after="0" w:line="290" w:lineRule="auto"/>
        <w:tabs>
          <w:tab w:leader="none" w:pos="766" w:val="left"/>
        </w:tabs>
        <w:numPr>
          <w:ilvl w:val="0"/>
          <w:numId w:val="1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Person shall accept its appointment hereunder as a successor Trustee unless at the time of such acceptance such successor Person shall be qualified and eligible under this Article 6.</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6.11 </w:t>
      </w:r>
      <w:r>
        <w:rPr>
          <w:rFonts w:ascii="Times New Roman" w:cs="Times New Roman" w:eastAsia="Times New Roman" w:hAnsi="Times New Roman"/>
          <w:sz w:val="15"/>
          <w:szCs w:val="15"/>
          <w:u w:val="single" w:color="auto"/>
          <w:color w:val="auto"/>
        </w:rPr>
        <w:t>Merger, Conversion, Consolidation or Succession to Business</w:t>
      </w:r>
    </w:p>
    <w:p>
      <w:pPr>
        <w:spacing w:after="0" w:line="194"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15"/>
          <w:szCs w:val="15"/>
          <w:color w:val="auto"/>
        </w:rPr>
        <w:t>Any Corporation or national banking association into which the Trustee may be merged or converted or with which it may be consolidated, or any Corporation or national banking association resulting from any merger, conversion or consolidation to which the Trustee shall be a party, or any Corporation or national banking association succeeding to all or substantially all of the corporate trust business of the Trustee by sale or otherwise, shall be the successor of the Trustee hereunder, provided such Corporation or national banking association shall otherwise be qualified and eligible under this Article 6, in each case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56" w:name="page157"/>
    <w:bookmarkEnd w:id="156"/>
    <w:p>
      <w:pPr>
        <w:ind w:left="540"/>
        <w:spacing w:after="0"/>
        <w:rPr>
          <w:sz w:val="20"/>
          <w:szCs w:val="20"/>
          <w:color w:val="auto"/>
        </w:rPr>
      </w:pPr>
      <w:r>
        <w:rPr>
          <w:rFonts w:ascii="Times New Roman" w:cs="Times New Roman" w:eastAsia="Times New Roman" w:hAnsi="Times New Roman"/>
          <w:sz w:val="15"/>
          <w:szCs w:val="15"/>
          <w:color w:val="auto"/>
        </w:rPr>
        <w:t xml:space="preserve">Section 6.12 </w:t>
      </w:r>
      <w:r>
        <w:rPr>
          <w:rFonts w:ascii="Times New Roman" w:cs="Times New Roman" w:eastAsia="Times New Roman" w:hAnsi="Times New Roman"/>
          <w:sz w:val="15"/>
          <w:szCs w:val="15"/>
          <w:u w:val="single" w:color="auto"/>
          <w:color w:val="auto"/>
        </w:rPr>
        <w:t>Appointment of Authenticating Agent</w:t>
      </w:r>
    </w:p>
    <w:p>
      <w:pPr>
        <w:spacing w:after="0" w:line="194" w:lineRule="exact"/>
        <w:rPr>
          <w:sz w:val="20"/>
          <w:szCs w:val="20"/>
          <w:color w:val="auto"/>
        </w:rPr>
      </w:pPr>
    </w:p>
    <w:p>
      <w:pPr>
        <w:ind w:firstLine="549"/>
        <w:spacing w:after="0" w:line="262" w:lineRule="auto"/>
        <w:rPr>
          <w:sz w:val="20"/>
          <w:szCs w:val="20"/>
          <w:color w:val="auto"/>
        </w:rPr>
      </w:pPr>
      <w:r>
        <w:rPr>
          <w:rFonts w:ascii="Times New Roman" w:cs="Times New Roman" w:eastAsia="Times New Roman" w:hAnsi="Times New Roman"/>
          <w:sz w:val="15"/>
          <w:szCs w:val="15"/>
          <w:color w:val="auto"/>
        </w:rPr>
        <w:t>The Trustee may appoint one or more Authenticating Agents acceptable to the Company with respect to one or more series of Securities which shall be authorized to act on behalf of the Trustee to authenticate Securities of that or those series issued upon original issue, exchange, registration of transfer, partial redemption or partial repayment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w:t>
      </w:r>
    </w:p>
    <w:p>
      <w:pPr>
        <w:spacing w:after="0" w:line="341" w:lineRule="exact"/>
        <w:rPr>
          <w:sz w:val="20"/>
          <w:szCs w:val="20"/>
          <w:color w:val="auto"/>
        </w:rPr>
      </w:pPr>
    </w:p>
    <w:p>
      <w:pPr>
        <w:ind w:firstLine="549"/>
        <w:spacing w:after="0" w:line="263" w:lineRule="auto"/>
        <w:rPr>
          <w:sz w:val="20"/>
          <w:szCs w:val="20"/>
          <w:color w:val="auto"/>
        </w:rPr>
      </w:pPr>
      <w:r>
        <w:rPr>
          <w:rFonts w:ascii="Times New Roman" w:cs="Times New Roman" w:eastAsia="Times New Roman" w:hAnsi="Times New Roman"/>
          <w:sz w:val="15"/>
          <w:szCs w:val="15"/>
          <w:color w:val="auto"/>
        </w:rPr>
        <w:t>Each Authenticating Agent must be acceptable to the Company and, except as provided in or pursuant to this Indenture, shall at all times be a Corporation or national banking association that would be permitted by the Trust Indenture Act to act as trustee under an indenture qualified under the Trust Indenture Act, is authorized under applicable law and by its charter to act as an Authenticating Agent and has a combined capital and surplus (computed in accordance with Section 310 (a)(2) of the Trust Indenture Act) of at least $50,000,000. If at any time an Authenticating Agent shall cease to be eligible in accordance with the provisions of this Section 6.12, it shall resign immediately in the manner and with the effect specified in this Section 6.12.</w:t>
      </w:r>
    </w:p>
    <w:p>
      <w:pPr>
        <w:spacing w:after="0" w:line="154" w:lineRule="exact"/>
        <w:rPr>
          <w:sz w:val="20"/>
          <w:szCs w:val="20"/>
          <w:color w:val="auto"/>
        </w:rPr>
      </w:pPr>
    </w:p>
    <w:p>
      <w:pPr>
        <w:ind w:right="20" w:firstLine="549"/>
        <w:spacing w:after="0" w:line="263" w:lineRule="auto"/>
        <w:rPr>
          <w:sz w:val="20"/>
          <w:szCs w:val="20"/>
          <w:color w:val="auto"/>
        </w:rPr>
      </w:pPr>
      <w:r>
        <w:rPr>
          <w:rFonts w:ascii="Times New Roman" w:cs="Times New Roman" w:eastAsia="Times New Roman" w:hAnsi="Times New Roman"/>
          <w:sz w:val="15"/>
          <w:szCs w:val="15"/>
          <w:color w:val="auto"/>
        </w:rPr>
        <w:t>Any Corporation or national banking association into which an Authenticating Agent may be merged or converted or with which it may be consolidated, or any Corporation or national banking association resulting from any merger, conversion or consolidation to which such Authenticating Agent shall be a party, or any Corporation or national banking association succeeding to all or substantially all of the corporate agency or corporate trust business of an Authenticating Agent, shall be the successor of such Authenticating Agent hereunder, provided such Corporation or national banking association shall be otherwise eligible under this Section 6.12, without the execution or filing of any paper or any further act on the part of the Trustee or the Authenticating Agent.</w:t>
      </w:r>
    </w:p>
    <w:p>
      <w:pPr>
        <w:spacing w:after="0" w:line="154" w:lineRule="exact"/>
        <w:rPr>
          <w:sz w:val="20"/>
          <w:szCs w:val="20"/>
          <w:color w:val="auto"/>
        </w:rPr>
      </w:pPr>
    </w:p>
    <w:p>
      <w:pPr>
        <w:ind w:right="40" w:firstLine="549"/>
        <w:spacing w:after="0" w:line="260" w:lineRule="auto"/>
        <w:rPr>
          <w:sz w:val="20"/>
          <w:szCs w:val="20"/>
          <w:color w:val="auto"/>
        </w:rPr>
      </w:pPr>
      <w:r>
        <w:rPr>
          <w:rFonts w:ascii="Times New Roman" w:cs="Times New Roman" w:eastAsia="Times New Roman" w:hAnsi="Times New Roman"/>
          <w:sz w:val="15"/>
          <w:szCs w:val="15"/>
          <w:color w:val="auto"/>
        </w:rPr>
        <w:t>An Authenticating Agent may resign at any time by giving written notice thereof to the Trustee and the Company. The Trustee may at any time terminate the agency of an Authenticating Agent by giving written notice thereof to such Authenticating Agent and the Company. Upon receiving such a notice of resignation or upon such a termination, or in case at any time such Authenticating Agent shall cease to be eligible in accordance with the provisions of this Section 6.12, the Trustee may appoint a successor Authenticating Agent which shall be acceptable to the Company and shall mail written notice of such appointment by first-class mail, postage prepaid, to all Holders of Registered Securities, if any, of the series with respect to which such Authenticating Agent shall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57" w:name="page158"/>
    <w:bookmarkEnd w:id="157"/>
    <w:p>
      <w:pPr>
        <w:ind w:left="540"/>
        <w:spacing w:after="0"/>
        <w:rPr>
          <w:sz w:val="20"/>
          <w:szCs w:val="20"/>
          <w:color w:val="auto"/>
        </w:rPr>
      </w:pPr>
      <w:r>
        <w:rPr>
          <w:rFonts w:ascii="Times New Roman" w:cs="Times New Roman" w:eastAsia="Times New Roman" w:hAnsi="Times New Roman"/>
          <w:sz w:val="15"/>
          <w:szCs w:val="15"/>
          <w:color w:val="auto"/>
        </w:rPr>
        <w:t>The Company agrees to pay each Authenticating Agent from time to time reasonable compensation for its services under this Section 6.12 to the extent agreed in writing.</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provisions of Section 3.3, Section 6.1, Section 6.4 and Section 6.5 shall be applicable to each Authenticating Agent.</w:t>
      </w:r>
    </w:p>
    <w:p>
      <w:pPr>
        <w:spacing w:after="0" w:line="194" w:lineRule="exact"/>
        <w:rPr>
          <w:sz w:val="20"/>
          <w:szCs w:val="20"/>
          <w:color w:val="auto"/>
        </w:rPr>
      </w:pPr>
    </w:p>
    <w:p>
      <w:pPr>
        <w:ind w:right="60" w:firstLine="549"/>
        <w:spacing w:after="0" w:line="290" w:lineRule="auto"/>
        <w:rPr>
          <w:sz w:val="20"/>
          <w:szCs w:val="20"/>
          <w:color w:val="auto"/>
        </w:rPr>
      </w:pPr>
      <w:r>
        <w:rPr>
          <w:rFonts w:ascii="Times New Roman" w:cs="Times New Roman" w:eastAsia="Times New Roman" w:hAnsi="Times New Roman"/>
          <w:sz w:val="15"/>
          <w:szCs w:val="15"/>
          <w:color w:val="auto"/>
        </w:rPr>
        <w:t>If an Authenticating Agent is appointed with respect to one or more series of Securities pursuant to this Section 6.12, the Securities of such series may have endorsed thereon, in addition to or in lieu of the Trustee’s certificate of authentication, an alternate certificate of authentication in substantially the following form:</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is one of the Securities of the series designated therein referred to in the within-mentioned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248920</wp:posOffset>
            </wp:positionV>
            <wp:extent cx="2856865" cy="146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2856865" cy="14605"/>
                    </a:xfrm>
                    <a:prstGeom prst="rect">
                      <a:avLst/>
                    </a:prstGeom>
                    <a:noFill/>
                  </pic:spPr>
                </pic:pic>
              </a:graphicData>
            </a:graphic>
          </wp:anchor>
        </w:drawing>
      </w:r>
    </w:p>
    <w:p>
      <w:pPr>
        <w:spacing w:after="0" w:line="3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as Trustee</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15875</wp:posOffset>
            </wp:positionV>
            <wp:extent cx="2573655" cy="146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2573655" cy="14605"/>
                    </a:xfrm>
                    <a:prstGeom prst="rect">
                      <a:avLst/>
                    </a:prstGeom>
                    <a:noFill/>
                  </pic:spPr>
                </pic:pic>
              </a:graphicData>
            </a:graphic>
          </wp:anchor>
        </w:drawing>
      </w:r>
    </w:p>
    <w:p>
      <w:pPr>
        <w:spacing w:after="0" w:line="1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color w:val="auto"/>
        </w:rPr>
        <w:t>As Authenticating Agent</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15875</wp:posOffset>
            </wp:positionV>
            <wp:extent cx="2573655" cy="146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2573655" cy="14605"/>
                    </a:xfrm>
                    <a:prstGeom prst="rect">
                      <a:avLst/>
                    </a:prstGeom>
                    <a:noFill/>
                  </pic:spPr>
                </pic:pic>
              </a:graphicData>
            </a:graphic>
          </wp:anchor>
        </w:drawing>
      </w:r>
    </w:p>
    <w:p>
      <w:pPr>
        <w:spacing w:after="0" w:line="1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color w:val="auto"/>
        </w:rPr>
        <w:t>Authorized Officer</w:t>
      </w:r>
    </w:p>
    <w:p>
      <w:pPr>
        <w:spacing w:after="0" w:line="1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4574540</wp:posOffset>
            </wp:positionH>
            <wp:positionV relativeFrom="paragraph">
              <wp:posOffset>15875</wp:posOffset>
            </wp:positionV>
            <wp:extent cx="2573655"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2573655" cy="14605"/>
                    </a:xfrm>
                    <a:prstGeom prst="rect">
                      <a:avLst/>
                    </a:prstGeom>
                    <a:noFill/>
                  </pic:spPr>
                </pic:pic>
              </a:graphicData>
            </a:graphic>
          </wp:anchor>
        </w:drawing>
      </w:r>
    </w:p>
    <w:p>
      <w:pPr>
        <w:spacing w:after="0" w:line="197"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If all of the Securities of any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by Company Request (which writing need not be accompanied by or contained in an Officer’s Certificate), shall appoint in accordance with this Section 6.12 (and subject to such procedures as shall be acceptable to the Trustee) an Authenticating Agent having an office in a Place of Payment designated by the Company with respect to such series of Securities.</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5"/>
          <w:szCs w:val="15"/>
          <w:b w:val="1"/>
          <w:bCs w:val="1"/>
          <w:color w:val="auto"/>
        </w:rPr>
        <w:t>ARTICLE 7</w:t>
      </w:r>
    </w:p>
    <w:p>
      <w:pPr>
        <w:spacing w:after="0" w:line="19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5"/>
          <w:szCs w:val="15"/>
          <w:b w:val="1"/>
          <w:bCs w:val="1"/>
          <w:color w:val="auto"/>
        </w:rPr>
        <w:t>HOLDERS LISTS AND REPORTS BY TRUSTEE AND COMPANY</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7.1 </w:t>
      </w:r>
      <w:r>
        <w:rPr>
          <w:rFonts w:ascii="Times New Roman" w:cs="Times New Roman" w:eastAsia="Times New Roman" w:hAnsi="Times New Roman"/>
          <w:sz w:val="15"/>
          <w:szCs w:val="15"/>
          <w:u w:val="single" w:color="auto"/>
          <w:color w:val="auto"/>
        </w:rPr>
        <w:t>Company to Furnish Trustee Names and Addresses of Holders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accordance with Section 312(a) of the Trust Indenture Act, the Company shall furnish or cause to be furnished to the Trustee:</w:t>
      </w:r>
    </w:p>
    <w:p>
      <w:pPr>
        <w:spacing w:after="0" w:line="194" w:lineRule="exact"/>
        <w:rPr>
          <w:sz w:val="20"/>
          <w:szCs w:val="20"/>
          <w:color w:val="auto"/>
        </w:rPr>
      </w:pPr>
    </w:p>
    <w:p>
      <w:pPr>
        <w:ind w:right="120" w:firstLine="541"/>
        <w:spacing w:after="0" w:line="290" w:lineRule="auto"/>
        <w:tabs>
          <w:tab w:leader="none" w:pos="766"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semi-annually with respect to Securities of each series not later than 15 days after each Regular Record Date in respect of Securities of a series, a list, in each case in such form as the Trustee may reasonably require, of the names and addresses of Holders of such Securities as of the applicable date, and</w:t>
      </w:r>
    </w:p>
    <w:p>
      <w:pPr>
        <w:spacing w:after="0" w:line="132" w:lineRule="exact"/>
        <w:rPr>
          <w:rFonts w:ascii="Times New Roman" w:cs="Times New Roman" w:eastAsia="Times New Roman" w:hAnsi="Times New Roman"/>
          <w:sz w:val="15"/>
          <w:szCs w:val="15"/>
          <w:color w:val="auto"/>
        </w:rPr>
      </w:pPr>
    </w:p>
    <w:p>
      <w:pPr>
        <w:ind w:firstLine="541"/>
        <w:spacing w:after="0" w:line="290" w:lineRule="auto"/>
        <w:tabs>
          <w:tab w:leader="none" w:pos="766"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provided, however, that so long as the Trustee is the Security Registrar no such list shall be required to be furnished.</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7.2 </w:t>
      </w:r>
      <w:r>
        <w:rPr>
          <w:rFonts w:ascii="Times New Roman" w:cs="Times New Roman" w:eastAsia="Times New Roman" w:hAnsi="Times New Roman"/>
          <w:sz w:val="15"/>
          <w:szCs w:val="15"/>
          <w:u w:val="single" w:color="auto"/>
          <w:color w:val="auto"/>
        </w:rPr>
        <w:t>Preservation of Information; Communications to Holders</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Trustee shall comply with the obligations imposed upon it pursuant to Section 312 of the Trust Indenture Act.</w:t>
      </w:r>
    </w:p>
    <w:p>
      <w:pPr>
        <w:spacing w:after="0" w:line="194" w:lineRule="exact"/>
        <w:rPr>
          <w:sz w:val="20"/>
          <w:szCs w:val="20"/>
          <w:color w:val="auto"/>
        </w:rPr>
      </w:pPr>
    </w:p>
    <w:p>
      <w:pPr>
        <w:ind w:right="100" w:firstLine="549"/>
        <w:spacing w:after="0" w:line="266" w:lineRule="auto"/>
        <w:rPr>
          <w:sz w:val="20"/>
          <w:szCs w:val="20"/>
          <w:color w:val="auto"/>
        </w:rPr>
      </w:pPr>
      <w:r>
        <w:rPr>
          <w:rFonts w:ascii="Times New Roman" w:cs="Times New Roman" w:eastAsia="Times New Roman" w:hAnsi="Times New Roman"/>
          <w:sz w:val="15"/>
          <w:szCs w:val="15"/>
          <w:color w:val="auto"/>
        </w:rPr>
        <w:t>Every Holder of Securities, by receiving and holding the same, agrees with the Company and the Trustee that neither the Company, the Trustee, any Paying Agent or any Security Registrar shall be held accountable by reason of the disclosure of any such information as to the names and addresses of the Holders of Securities in accordance with Section 312 of the Trust Indenture Act, regardless of the source from which such information was derived, and that the Trustee shall not be held accountable by reason of mailing any material pursuant to a request made under Section 312(b) of the Trust Indenture Act.</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7.3 </w:t>
      </w:r>
      <w:r>
        <w:rPr>
          <w:rFonts w:ascii="Times New Roman" w:cs="Times New Roman" w:eastAsia="Times New Roman" w:hAnsi="Times New Roman"/>
          <w:sz w:val="15"/>
          <w:szCs w:val="15"/>
          <w:u w:val="single" w:color="auto"/>
          <w:color w:val="auto"/>
        </w:rPr>
        <w:t>Reports by Trustee</w:t>
      </w:r>
    </w:p>
    <w:p>
      <w:pPr>
        <w:spacing w:after="0" w:line="194" w:lineRule="exact"/>
        <w:rPr>
          <w:sz w:val="20"/>
          <w:szCs w:val="20"/>
          <w:color w:val="auto"/>
        </w:rPr>
      </w:pPr>
    </w:p>
    <w:p>
      <w:pPr>
        <w:ind w:right="20" w:firstLine="541"/>
        <w:spacing w:after="0" w:line="272" w:lineRule="auto"/>
        <w:tabs>
          <w:tab w:leader="none" w:pos="766"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60 days after May 15 of each year commencing with the first May 15 following the first issuance of Securities pursuant to Section 3.1, if required by Section 313(a) of the Trust Indenture Act, the Trustee shall transmit, pursuant to Section 313(c) of the Trust Indenture Act, a brief report dated as of such May 15 with respect to any of the events specified in said Section 313(a) that may have occurred since the later of the immediately preceding May 15 and the date of this Indenture.</w:t>
      </w:r>
    </w:p>
    <w:p>
      <w:pPr>
        <w:spacing w:after="0" w:line="146"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transmit any reports required by Sections 313(a) and (b) of the Trust Indenture Act at the times specified therein.</w:t>
      </w:r>
    </w:p>
    <w:p>
      <w:pPr>
        <w:spacing w:after="0" w:line="193" w:lineRule="exact"/>
        <w:rPr>
          <w:rFonts w:ascii="Times New Roman" w:cs="Times New Roman" w:eastAsia="Times New Roman" w:hAnsi="Times New Roman"/>
          <w:sz w:val="15"/>
          <w:szCs w:val="15"/>
          <w:color w:val="auto"/>
        </w:rPr>
      </w:pPr>
    </w:p>
    <w:p>
      <w:pPr>
        <w:ind w:right="20" w:firstLine="541"/>
        <w:spacing w:after="0" w:line="272" w:lineRule="auto"/>
        <w:tabs>
          <w:tab w:leader="none" w:pos="766"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copy of each report, if any, described in Section 7.3(1) and (2) shall, at the time of such transmission to Holders, be filed by the Trustee with each stock exchange, if any, upon which the Securities are listed, with the Commission and with the Company. The Company will promptly notify the Trustee when the Securities are listed on any stock exchange and of any delisting thereof.</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59" w:name="page160"/>
    <w:bookmarkEnd w:id="159"/>
    <w:p>
      <w:pPr>
        <w:ind w:left="540"/>
        <w:spacing w:after="0"/>
        <w:rPr>
          <w:sz w:val="20"/>
          <w:szCs w:val="20"/>
          <w:color w:val="auto"/>
        </w:rPr>
      </w:pPr>
      <w:r>
        <w:rPr>
          <w:rFonts w:ascii="Times New Roman" w:cs="Times New Roman" w:eastAsia="Times New Roman" w:hAnsi="Times New Roman"/>
          <w:sz w:val="15"/>
          <w:szCs w:val="15"/>
          <w:color w:val="auto"/>
        </w:rPr>
        <w:t xml:space="preserve">Section 7.4 </w:t>
      </w:r>
      <w:r>
        <w:rPr>
          <w:rFonts w:ascii="Times New Roman" w:cs="Times New Roman" w:eastAsia="Times New Roman" w:hAnsi="Times New Roman"/>
          <w:sz w:val="15"/>
          <w:szCs w:val="15"/>
          <w:u w:val="single" w:color="auto"/>
          <w:color w:val="auto"/>
        </w:rPr>
        <w:t>Reports by Company</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Company, pursuant to Section 314(a) of the Trust Indenture Act, shall:</w:t>
      </w:r>
    </w:p>
    <w:p>
      <w:pPr>
        <w:spacing w:after="0" w:line="194" w:lineRule="exact"/>
        <w:rPr>
          <w:sz w:val="20"/>
          <w:szCs w:val="20"/>
          <w:color w:val="auto"/>
        </w:rPr>
      </w:pPr>
    </w:p>
    <w:p>
      <w:pPr>
        <w:ind w:firstLine="541"/>
        <w:spacing w:after="0" w:line="260" w:lineRule="auto"/>
        <w:tabs>
          <w:tab w:leader="none" w:pos="766"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 with the Trustee, within 30 days after the Company has filed the same with the Commission, unless such reports are available on the Commission’s EDGAR filing system (or any successor thereto),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Section 13 or Section 15(d) of the Exchange Act,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157" w:lineRule="exact"/>
        <w:rPr>
          <w:rFonts w:ascii="Times New Roman" w:cs="Times New Roman" w:eastAsia="Times New Roman" w:hAnsi="Times New Roman"/>
          <w:sz w:val="15"/>
          <w:szCs w:val="15"/>
          <w:color w:val="auto"/>
        </w:rPr>
      </w:pPr>
    </w:p>
    <w:p>
      <w:pPr>
        <w:jc w:val="both"/>
        <w:ind w:right="520" w:firstLine="541"/>
        <w:spacing w:after="0" w:line="272" w:lineRule="auto"/>
        <w:tabs>
          <w:tab w:leader="none" w:pos="766"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w:t>
      </w:r>
    </w:p>
    <w:p>
      <w:pPr>
        <w:spacing w:after="0" w:line="146" w:lineRule="exact"/>
        <w:rPr>
          <w:rFonts w:ascii="Times New Roman" w:cs="Times New Roman" w:eastAsia="Times New Roman" w:hAnsi="Times New Roman"/>
          <w:sz w:val="15"/>
          <w:szCs w:val="15"/>
          <w:color w:val="auto"/>
        </w:rPr>
      </w:pPr>
    </w:p>
    <w:p>
      <w:pPr>
        <w:ind w:right="60" w:firstLine="541"/>
        <w:spacing w:after="0" w:line="272" w:lineRule="auto"/>
        <w:tabs>
          <w:tab w:leader="none" w:pos="766"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transmit to the Holders within 30 days after the filing thereof with the Trustee, in the manner and to the extent provided in Section 313(c) of the Trust Indenture Act, such summaries of any information, documents and reports required to be filed by the Company pursuant to paragraphs (1) and (2) of this Section 7.4 as may be required by rules and regulations prescribed from time to time by the Commission; and</w:t>
      </w:r>
    </w:p>
    <w:p>
      <w:pPr>
        <w:spacing w:after="0" w:line="146" w:lineRule="exact"/>
        <w:rPr>
          <w:rFonts w:ascii="Times New Roman" w:cs="Times New Roman" w:eastAsia="Times New Roman" w:hAnsi="Times New Roman"/>
          <w:sz w:val="15"/>
          <w:szCs w:val="15"/>
          <w:color w:val="auto"/>
        </w:rPr>
      </w:pPr>
    </w:p>
    <w:p>
      <w:pPr>
        <w:ind w:right="40" w:firstLine="541"/>
        <w:spacing w:after="0" w:line="261" w:lineRule="auto"/>
        <w:tabs>
          <w:tab w:leader="none" w:pos="766" w:val="left"/>
        </w:tabs>
        <w:numPr>
          <w:ilvl w:val="0"/>
          <w:numId w:val="1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to the Trustee, within 120 days after the end of each fiscal year, a written statement (which need not be contained in or accompanied by an Officer’s Certificate) signed by the principal executive officer, the principal financial officer or the principal accounting officer of the Company, stating that to the best of such officer’s knowledge the Company has kept, observed, performed and fulfilled each and every covenant contained in this Indenture and is not in default in the performance or observance of any of the terms, provisions and conditions of this Indenture (or, if a default or Event of Default shall have occurred, describing all such defaults or Events of Default of which he or she may have knowledge and what action the Company is taking or proposes to take with respect thereto). For purposes of this paragraph (4), such compliance shall be determined without regard to any period of grace or requirement of notice provided in this Indenture.</w:t>
      </w:r>
    </w:p>
    <w:p>
      <w:pPr>
        <w:spacing w:after="0" w:line="157" w:lineRule="exact"/>
        <w:rPr>
          <w:sz w:val="20"/>
          <w:szCs w:val="20"/>
          <w:color w:val="auto"/>
        </w:rPr>
      </w:pPr>
    </w:p>
    <w:p>
      <w:pPr>
        <w:ind w:right="20" w:firstLine="549"/>
        <w:spacing w:after="0" w:line="266" w:lineRule="auto"/>
        <w:rPr>
          <w:sz w:val="20"/>
          <w:szCs w:val="20"/>
          <w:color w:val="auto"/>
        </w:rPr>
      </w:pPr>
      <w:r>
        <w:rPr>
          <w:rFonts w:ascii="Times New Roman" w:cs="Times New Roman" w:eastAsia="Times New Roman" w:hAnsi="Times New Roman"/>
          <w:sz w:val="15"/>
          <w:szCs w:val="15"/>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The Trustee shall have no duty to monitor the Company’s compliance with the covenants contained in this Indenture other than to receive written notices as described in paragraph (4) of this Section 7.4.</w:t>
      </w: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180"/>
          </w:cols>
          <w:pgMar w:left="320" w:top="789" w:right="399" w:bottom="1440" w:gutter="0" w:footer="0" w:header="0"/>
        </w:sectPr>
      </w:pPr>
    </w:p>
    <w:bookmarkStart w:id="160" w:name="page161"/>
    <w:bookmarkEnd w:id="16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ARTICLE 8</w:t>
      </w:r>
    </w:p>
    <w:p>
      <w:pPr>
        <w:spacing w:after="0" w:line="19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5"/>
          <w:szCs w:val="15"/>
          <w:b w:val="1"/>
          <w:bCs w:val="1"/>
          <w:color w:val="auto"/>
        </w:rPr>
        <w:t>CONSOLIDATION, MERGER AND SALES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8.1 </w:t>
      </w:r>
      <w:r>
        <w:rPr>
          <w:rFonts w:ascii="Times New Roman" w:cs="Times New Roman" w:eastAsia="Times New Roman" w:hAnsi="Times New Roman"/>
          <w:sz w:val="15"/>
          <w:szCs w:val="15"/>
          <w:u w:val="single" w:color="auto"/>
          <w:color w:val="auto"/>
        </w:rPr>
        <w:t>Company May Consolidate, etc., Only on Certain Terms</w:t>
      </w:r>
    </w:p>
    <w:p>
      <w:pPr>
        <w:spacing w:after="0" w:line="194" w:lineRule="exact"/>
        <w:rPr>
          <w:sz w:val="20"/>
          <w:szCs w:val="20"/>
          <w:color w:val="auto"/>
        </w:rPr>
      </w:pPr>
    </w:p>
    <w:p>
      <w:pPr>
        <w:ind w:right="80" w:firstLine="549"/>
        <w:spacing w:after="0" w:line="290" w:lineRule="auto"/>
        <w:rPr>
          <w:sz w:val="20"/>
          <w:szCs w:val="20"/>
          <w:color w:val="auto"/>
        </w:rPr>
      </w:pPr>
      <w:r>
        <w:rPr>
          <w:rFonts w:ascii="Times New Roman" w:cs="Times New Roman" w:eastAsia="Times New Roman" w:hAnsi="Times New Roman"/>
          <w:sz w:val="15"/>
          <w:szCs w:val="15"/>
          <w:color w:val="auto"/>
        </w:rPr>
        <w:t>The Company shall not directly or indirectly consolidate with or merge with or into, or sell, assign, transfer, lease, convey or otherwise dispose of all or substantially all of its assets and properties and the assets and properties of its Subsidiaries (taken as a whole) to another Person in one or more related transactions unless:</w:t>
      </w:r>
    </w:p>
    <w:p>
      <w:pPr>
        <w:spacing w:after="0" w:line="133" w:lineRule="exact"/>
        <w:rPr>
          <w:sz w:val="20"/>
          <w:szCs w:val="20"/>
          <w:color w:val="auto"/>
        </w:rPr>
      </w:pPr>
    </w:p>
    <w:p>
      <w:pPr>
        <w:ind w:right="220" w:firstLine="541"/>
        <w:spacing w:after="0" w:line="272" w:lineRule="auto"/>
        <w:tabs>
          <w:tab w:leader="none" w:pos="766"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 (A) the Company is the survivor; or (B) the Person formed by or surviving any such consolidation or merger (if other than the Company) or to which such sale, assignment, transfer, lease, conveyance or other disposition has been made is a Person organized or existing under the laws of the United States, any state of the United States or the District of Columbia;</w:t>
      </w:r>
    </w:p>
    <w:p>
      <w:pPr>
        <w:spacing w:after="0" w:line="146" w:lineRule="exact"/>
        <w:rPr>
          <w:rFonts w:ascii="Times New Roman" w:cs="Times New Roman" w:eastAsia="Times New Roman" w:hAnsi="Times New Roman"/>
          <w:sz w:val="15"/>
          <w:szCs w:val="15"/>
          <w:color w:val="auto"/>
        </w:rPr>
      </w:pPr>
    </w:p>
    <w:p>
      <w:pPr>
        <w:ind w:right="80" w:firstLine="541"/>
        <w:spacing w:after="0" w:line="261" w:lineRule="auto"/>
        <w:tabs>
          <w:tab w:leader="none" w:pos="766"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Person formed by or surviving any such consolidation or merger (if other than the Company) or the Person to which such sale, assignment, transfer, lease, conveyance or other disposition has been made shall expressly assume, by an indenture (or indentures, if at such time there is more than one Trustee) supplemental hereto, in form reasonably satisfactory to the Trustee, executed by the successor Person and delivered to the Trustee, the due and punctual payment of the principal of, any premium and interest on and any Additional Amounts with respect to, all the Securities and the performance of every obligation in this Indenture and the Outstanding Securities on the part of the Company to be performed or observed and shall provide for conversion or exchange rights in accordance with the provisions of the Securities of any series that are convertible or exchangeable into Common Stock or other securities, cash or other property;</w:t>
      </w:r>
    </w:p>
    <w:p>
      <w:pPr>
        <w:spacing w:after="0" w:line="156" w:lineRule="exact"/>
        <w:rPr>
          <w:rFonts w:ascii="Times New Roman" w:cs="Times New Roman" w:eastAsia="Times New Roman" w:hAnsi="Times New Roman"/>
          <w:sz w:val="15"/>
          <w:szCs w:val="15"/>
          <w:color w:val="auto"/>
        </w:rPr>
      </w:pPr>
    </w:p>
    <w:p>
      <w:pPr>
        <w:ind w:right="80" w:firstLine="541"/>
        <w:spacing w:after="0" w:line="272" w:lineRule="auto"/>
        <w:tabs>
          <w:tab w:leader="none" w:pos="766"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 the Company or the successor Person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comply with this Article 8 and that all conditions precedent herein provided for relating to such transaction have been complied with; and</w:t>
      </w:r>
    </w:p>
    <w:p>
      <w:pPr>
        <w:spacing w:after="0" w:line="146" w:lineRule="exact"/>
        <w:rPr>
          <w:rFonts w:ascii="Times New Roman" w:cs="Times New Roman" w:eastAsia="Times New Roman" w:hAnsi="Times New Roman"/>
          <w:sz w:val="15"/>
          <w:szCs w:val="15"/>
          <w:color w:val="auto"/>
        </w:rPr>
      </w:pPr>
    </w:p>
    <w:p>
      <w:pPr>
        <w:ind w:firstLine="541"/>
        <w:spacing w:after="0" w:line="290" w:lineRule="auto"/>
        <w:tabs>
          <w:tab w:leader="none" w:pos="766"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after giving effect to such transaction, no Event of Default or event which, after notice or lapse of time, or both, would become an Event of Default, shall have occurred and be continuing.</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8.2 </w:t>
      </w:r>
      <w:r>
        <w:rPr>
          <w:rFonts w:ascii="Times New Roman" w:cs="Times New Roman" w:eastAsia="Times New Roman" w:hAnsi="Times New Roman"/>
          <w:sz w:val="15"/>
          <w:szCs w:val="15"/>
          <w:u w:val="single" w:color="auto"/>
          <w:color w:val="auto"/>
        </w:rPr>
        <w:t>Successor Person Substituted for Company</w:t>
      </w:r>
    </w:p>
    <w:p>
      <w:pPr>
        <w:spacing w:after="0" w:line="194" w:lineRule="exact"/>
        <w:rPr>
          <w:sz w:val="20"/>
          <w:szCs w:val="20"/>
          <w:color w:val="auto"/>
        </w:rPr>
      </w:pPr>
    </w:p>
    <w:p>
      <w:pPr>
        <w:ind w:right="60" w:firstLine="549"/>
        <w:spacing w:after="0" w:line="261" w:lineRule="auto"/>
        <w:rPr>
          <w:sz w:val="20"/>
          <w:szCs w:val="20"/>
          <w:color w:val="auto"/>
        </w:rPr>
      </w:pPr>
      <w:r>
        <w:rPr>
          <w:rFonts w:ascii="Times New Roman" w:cs="Times New Roman" w:eastAsia="Times New Roman" w:hAnsi="Times New Roman"/>
          <w:sz w:val="15"/>
          <w:szCs w:val="15"/>
          <w:color w:val="auto"/>
        </w:rPr>
        <w:t>Upon any consolidation by the Company with or merger of the Company into any other Person or Persons where the Company is not the survivor or any sale, assignment, transfer, lease, conveyance or other disposition of all or substantially all of the properties and assets of the Company and the properties and assets of its Subsidiaries (taken as a whole) to any Person or Persons in accordance with Section 8.1, the successor Person formed by such consolidation or into which the Company is merged or to which such sale, assignment, transfer, lease, conveyance or other disposition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released from all obligations and covenants under this Indenture and the Securities.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5" w:right="35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5"/>
          <w:szCs w:val="15"/>
          <w:b w:val="1"/>
          <w:bCs w:val="1"/>
          <w:color w:val="auto"/>
        </w:rPr>
        <w:t>ARTICLE 9</w:t>
      </w:r>
    </w:p>
    <w:p>
      <w:pPr>
        <w:spacing w:after="0" w:line="19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b w:val="1"/>
          <w:bCs w:val="1"/>
          <w:color w:val="auto"/>
        </w:rPr>
        <w:t>SUPPLEMENTAL INDENTURES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9.1 </w:t>
      </w:r>
      <w:r>
        <w:rPr>
          <w:rFonts w:ascii="Times New Roman" w:cs="Times New Roman" w:eastAsia="Times New Roman" w:hAnsi="Times New Roman"/>
          <w:sz w:val="15"/>
          <w:szCs w:val="15"/>
          <w:u w:val="single" w:color="auto"/>
          <w:color w:val="auto"/>
        </w:rPr>
        <w:t>Supplemental Indentures without Consent of Holders</w:t>
      </w:r>
    </w:p>
    <w:p>
      <w:pPr>
        <w:spacing w:after="0" w:line="194" w:lineRule="exact"/>
        <w:rPr>
          <w:sz w:val="20"/>
          <w:szCs w:val="20"/>
          <w:color w:val="auto"/>
        </w:rPr>
      </w:pPr>
    </w:p>
    <w:p>
      <w:pPr>
        <w:ind w:right="260" w:firstLine="549"/>
        <w:spacing w:after="0" w:line="290" w:lineRule="auto"/>
        <w:rPr>
          <w:sz w:val="20"/>
          <w:szCs w:val="20"/>
          <w:color w:val="auto"/>
        </w:rPr>
      </w:pPr>
      <w:r>
        <w:rPr>
          <w:rFonts w:ascii="Times New Roman" w:cs="Times New Roman" w:eastAsia="Times New Roman" w:hAnsi="Times New Roman"/>
          <w:sz w:val="15"/>
          <w:szCs w:val="15"/>
          <w:color w:val="auto"/>
        </w:rPr>
        <w:t>Without the consent of any Holders of Securities,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33" w:lineRule="exact"/>
        <w:rPr>
          <w:sz w:val="20"/>
          <w:szCs w:val="20"/>
          <w:color w:val="auto"/>
        </w:rPr>
      </w:pPr>
    </w:p>
    <w:p>
      <w:pPr>
        <w:ind w:left="760" w:hanging="219"/>
        <w:spacing w:after="0"/>
        <w:tabs>
          <w:tab w:leader="none" w:pos="7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the succession of another Person to the Company, and the assumption by any such successor of the covenants of the Company contained herein and in the</w:t>
      </w:r>
    </w:p>
    <w:p>
      <w:pPr>
        <w:spacing w:after="0" w:line="25"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w:t>
      </w:r>
    </w:p>
    <w:p>
      <w:pPr>
        <w:spacing w:after="0" w:line="179" w:lineRule="exact"/>
        <w:rPr>
          <w:rFonts w:ascii="Times New Roman" w:cs="Times New Roman" w:eastAsia="Times New Roman" w:hAnsi="Times New Roman"/>
          <w:sz w:val="15"/>
          <w:szCs w:val="15"/>
          <w:color w:val="auto"/>
        </w:rPr>
      </w:pPr>
    </w:p>
    <w:p>
      <w:pPr>
        <w:ind w:right="20" w:firstLine="541"/>
        <w:spacing w:after="0" w:line="263" w:lineRule="auto"/>
        <w:tabs>
          <w:tab w:leader="none" w:pos="766"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the covenants of the Company for the benefit of the Holders of all or any series of Securities (as shall be specified in such supplemental indenture or indentures) or to surrender any right or power herein conferred upon the Company; provided, that in respect of any such additional covenant, such supplemental indenture may provide for a particular period of grace after default (which period may be shorter or longer than that allowed in the case of other defaults) or may provide for an immediate enforcement upon such a default or may limit the remedies available to the Trustee upon an Event of Default or may limit the right of the Holders of a majority in aggregate principal amount of the Securities of such series to waive such an Event of Default;</w:t>
      </w:r>
    </w:p>
    <w:p>
      <w:pPr>
        <w:spacing w:after="0" w:line="15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establish the form or terms of Securities of any series as permitted by Section 2.1 and Section 3.1;</w:t>
      </w:r>
    </w:p>
    <w:p>
      <w:pPr>
        <w:spacing w:after="0" w:line="193" w:lineRule="exact"/>
        <w:rPr>
          <w:rFonts w:ascii="Times New Roman" w:cs="Times New Roman" w:eastAsia="Times New Roman" w:hAnsi="Times New Roman"/>
          <w:sz w:val="15"/>
          <w:szCs w:val="15"/>
          <w:color w:val="auto"/>
        </w:rPr>
      </w:pPr>
    </w:p>
    <w:p>
      <w:pPr>
        <w:ind w:firstLine="541"/>
        <w:spacing w:after="0" w:line="272" w:lineRule="auto"/>
        <w:tabs>
          <w:tab w:leader="none" w:pos="766"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w:t>
      </w:r>
    </w:p>
    <w:p>
      <w:pPr>
        <w:spacing w:after="0" w:line="146" w:lineRule="exact"/>
        <w:rPr>
          <w:rFonts w:ascii="Times New Roman" w:cs="Times New Roman" w:eastAsia="Times New Roman" w:hAnsi="Times New Roman"/>
          <w:sz w:val="15"/>
          <w:szCs w:val="15"/>
          <w:color w:val="auto"/>
        </w:rPr>
      </w:pPr>
    </w:p>
    <w:p>
      <w:pPr>
        <w:ind w:right="400" w:firstLine="541"/>
        <w:spacing w:after="0" w:line="272" w:lineRule="auto"/>
        <w:tabs>
          <w:tab w:leader="none" w:pos="766"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cure any ambiguity, to correct or supplement any provision herein which may be defective or inconsistent with any other provision herein, or to make any other provisions with respect to matters or questions arising under this Indenture; provided that no action pursuant to this clause (5) shall adversely affect the interests of the Holders of Securities of any series then Outstanding in any material respect;</w:t>
      </w:r>
    </w:p>
    <w:p>
      <w:pPr>
        <w:spacing w:after="0" w:line="146" w:lineRule="exact"/>
        <w:rPr>
          <w:rFonts w:ascii="Times New Roman" w:cs="Times New Roman" w:eastAsia="Times New Roman" w:hAnsi="Times New Roman"/>
          <w:sz w:val="15"/>
          <w:szCs w:val="15"/>
          <w:color w:val="auto"/>
        </w:rPr>
      </w:pPr>
    </w:p>
    <w:p>
      <w:pPr>
        <w:ind w:firstLine="541"/>
        <w:spacing w:after="0" w:line="290" w:lineRule="auto"/>
        <w:tabs>
          <w:tab w:leader="none" w:pos="766"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to, delete from or revise the conditions, limitations and restrictions on the authorized amount, terms or purposes of issue, authentication and delivery of Securities, as herein set forth;</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5" w:right="339" w:bottom="1440" w:gutter="0" w:footer="0" w:header="0"/>
        </w:sectPr>
      </w:pPr>
    </w:p>
    <w:bookmarkStart w:id="162" w:name="page163"/>
    <w:bookmarkEnd w:id="162"/>
    <w:p>
      <w:pPr>
        <w:ind w:left="760" w:hanging="219"/>
        <w:spacing w:after="0"/>
        <w:tabs>
          <w:tab w:leader="none" w:pos="76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any additional Events of Default with respect to all or any series of Securities (as shall be specified in such supplemental indenture);</w:t>
      </w:r>
    </w:p>
    <w:p>
      <w:pPr>
        <w:spacing w:after="0" w:line="193" w:lineRule="exact"/>
        <w:rPr>
          <w:rFonts w:ascii="Times New Roman" w:cs="Times New Roman" w:eastAsia="Times New Roman" w:hAnsi="Times New Roman"/>
          <w:sz w:val="15"/>
          <w:szCs w:val="15"/>
          <w:color w:val="auto"/>
        </w:rPr>
      </w:pPr>
    </w:p>
    <w:p>
      <w:pPr>
        <w:ind w:right="40" w:firstLine="541"/>
        <w:spacing w:after="0" w:line="290" w:lineRule="auto"/>
        <w:tabs>
          <w:tab w:leader="none" w:pos="766"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supplement any of the provisions of this Indenture to such extent as shall be necessary for the defeasance and discharge of any series of Securities pursuant to Article 4, provided that any such action shall not adversely affect the interests of any Holder of an Outstanding Security of such series or any other Security in any material respect;</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provisions with respect to conversion or exchange rights of Holders of Securities of any series;</w:t>
      </w:r>
    </w:p>
    <w:p>
      <w:pPr>
        <w:spacing w:after="0" w:line="193" w:lineRule="exact"/>
        <w:rPr>
          <w:rFonts w:ascii="Times New Roman" w:cs="Times New Roman" w:eastAsia="Times New Roman" w:hAnsi="Times New Roman"/>
          <w:sz w:val="15"/>
          <w:szCs w:val="15"/>
          <w:color w:val="auto"/>
        </w:rPr>
      </w:pPr>
    </w:p>
    <w:p>
      <w:pPr>
        <w:ind w:left="840" w:hanging="299"/>
        <w:spacing w:after="0"/>
        <w:tabs>
          <w:tab w:leader="none" w:pos="8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add guarantees in respect of the Securities of one or more series and to provide for the terms and conditions of release thereof;</w:t>
      </w:r>
    </w:p>
    <w:p>
      <w:pPr>
        <w:spacing w:after="0" w:line="193" w:lineRule="exact"/>
        <w:rPr>
          <w:rFonts w:ascii="Times New Roman" w:cs="Times New Roman" w:eastAsia="Times New Roman" w:hAnsi="Times New Roman"/>
          <w:sz w:val="15"/>
          <w:szCs w:val="15"/>
          <w:color w:val="auto"/>
        </w:rPr>
      </w:pPr>
    </w:p>
    <w:p>
      <w:pPr>
        <w:ind w:right="200" w:firstLine="541"/>
        <w:spacing w:after="0" w:line="290" w:lineRule="auto"/>
        <w:tabs>
          <w:tab w:leader="none" w:pos="836"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convey, transfer, assign, mortgage or pledge to the Trustee as security for the Securities of one or more series any property or assets and to provide for the terms and conditions of release thereof;</w:t>
      </w:r>
    </w:p>
    <w:p>
      <w:pPr>
        <w:spacing w:after="0" w:line="132" w:lineRule="exact"/>
        <w:rPr>
          <w:rFonts w:ascii="Times New Roman" w:cs="Times New Roman" w:eastAsia="Times New Roman" w:hAnsi="Times New Roman"/>
          <w:sz w:val="15"/>
          <w:szCs w:val="15"/>
          <w:color w:val="auto"/>
        </w:rPr>
      </w:pPr>
    </w:p>
    <w:p>
      <w:pPr>
        <w:ind w:right="260" w:firstLine="541"/>
        <w:spacing w:after="0" w:line="290" w:lineRule="auto"/>
        <w:tabs>
          <w:tab w:leader="none" w:pos="842"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w:t>
      </w:r>
    </w:p>
    <w:p>
      <w:pPr>
        <w:spacing w:after="0" w:line="132" w:lineRule="exact"/>
        <w:rPr>
          <w:rFonts w:ascii="Times New Roman" w:cs="Times New Roman" w:eastAsia="Times New Roman" w:hAnsi="Times New Roman"/>
          <w:sz w:val="15"/>
          <w:szCs w:val="15"/>
          <w:color w:val="auto"/>
        </w:rPr>
      </w:pPr>
    </w:p>
    <w:p>
      <w:pPr>
        <w:ind w:left="840" w:hanging="299"/>
        <w:spacing w:after="0"/>
        <w:tabs>
          <w:tab w:leader="none" w:pos="8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Definitive Securities in addition to or in place of Global Securities;</w:t>
      </w:r>
    </w:p>
    <w:p>
      <w:pPr>
        <w:spacing w:after="0" w:line="193" w:lineRule="exact"/>
        <w:rPr>
          <w:rFonts w:ascii="Times New Roman" w:cs="Times New Roman" w:eastAsia="Times New Roman" w:hAnsi="Times New Roman"/>
          <w:sz w:val="15"/>
          <w:szCs w:val="15"/>
          <w:color w:val="auto"/>
        </w:rPr>
      </w:pPr>
    </w:p>
    <w:p>
      <w:pPr>
        <w:ind w:left="840" w:hanging="299"/>
        <w:spacing w:after="0"/>
        <w:tabs>
          <w:tab w:leader="none" w:pos="8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qualify the Indenture under the Trust Indenture Act;</w:t>
      </w:r>
    </w:p>
    <w:p>
      <w:pPr>
        <w:spacing w:after="0" w:line="193" w:lineRule="exact"/>
        <w:rPr>
          <w:rFonts w:ascii="Times New Roman" w:cs="Times New Roman" w:eastAsia="Times New Roman" w:hAnsi="Times New Roman"/>
          <w:sz w:val="15"/>
          <w:szCs w:val="15"/>
          <w:color w:val="auto"/>
        </w:rPr>
      </w:pPr>
    </w:p>
    <w:p>
      <w:pPr>
        <w:ind w:firstLine="541"/>
        <w:spacing w:after="0" w:line="272" w:lineRule="auto"/>
        <w:tabs>
          <w:tab w:leader="none" w:pos="842"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Securities of a series, to conform the text of the Indenture or the Securities of such series to any provision of the description thereof in the Company’s offering memorandum or prospectus relating to the initial offering of such Securities, to the extent that such provision, in the good faith judgment of the Company, was intended to be a verbatim recitation of a provision of the Indenture or such Securities; or</w:t>
      </w:r>
    </w:p>
    <w:p>
      <w:pPr>
        <w:spacing w:after="0" w:line="146" w:lineRule="exact"/>
        <w:rPr>
          <w:rFonts w:ascii="Times New Roman" w:cs="Times New Roman" w:eastAsia="Times New Roman" w:hAnsi="Times New Roman"/>
          <w:sz w:val="15"/>
          <w:szCs w:val="15"/>
          <w:color w:val="auto"/>
        </w:rPr>
      </w:pPr>
    </w:p>
    <w:p>
      <w:pPr>
        <w:ind w:left="840" w:hanging="299"/>
        <w:spacing w:after="0"/>
        <w:tabs>
          <w:tab w:leader="none" w:pos="84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any other change that does not adversely affect the rights of Holders of Outstanding Securities in any material respect.</w:t>
      </w:r>
    </w:p>
    <w:p>
      <w:pPr>
        <w:spacing w:after="0" w:line="194" w:lineRule="exact"/>
        <w:rPr>
          <w:sz w:val="20"/>
          <w:szCs w:val="20"/>
          <w:color w:val="auto"/>
        </w:rPr>
      </w:pPr>
    </w:p>
    <w:p>
      <w:pPr>
        <w:ind w:right="40" w:firstLine="549"/>
        <w:spacing w:after="0" w:line="272" w:lineRule="auto"/>
        <w:rPr>
          <w:sz w:val="20"/>
          <w:szCs w:val="20"/>
          <w:color w:val="auto"/>
        </w:rPr>
      </w:pPr>
      <w:r>
        <w:rPr>
          <w:rFonts w:ascii="Times New Roman" w:cs="Times New Roman" w:eastAsia="Times New Roman" w:hAnsi="Times New Roman"/>
          <w:sz w:val="15"/>
          <w:szCs w:val="15"/>
          <w:color w:val="auto"/>
        </w:rPr>
        <w:t>The Trustee is hereby required to join with the Company and any guarantors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that affects the Trustee’s own rights, duties or immunities under this Indenture or otherwise.</w:t>
      </w: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163" w:name="page164"/>
    <w:bookmarkEnd w:id="163"/>
    <w:p>
      <w:pPr>
        <w:ind w:left="540"/>
        <w:spacing w:after="0"/>
        <w:rPr>
          <w:sz w:val="20"/>
          <w:szCs w:val="20"/>
          <w:color w:val="auto"/>
        </w:rPr>
      </w:pPr>
      <w:r>
        <w:rPr>
          <w:rFonts w:ascii="Times New Roman" w:cs="Times New Roman" w:eastAsia="Times New Roman" w:hAnsi="Times New Roman"/>
          <w:sz w:val="15"/>
          <w:szCs w:val="15"/>
          <w:color w:val="auto"/>
        </w:rPr>
        <w:t xml:space="preserve">Section 9.2 </w:t>
      </w:r>
      <w:r>
        <w:rPr>
          <w:rFonts w:ascii="Times New Roman" w:cs="Times New Roman" w:eastAsia="Times New Roman" w:hAnsi="Times New Roman"/>
          <w:sz w:val="15"/>
          <w:szCs w:val="15"/>
          <w:u w:val="single" w:color="auto"/>
          <w:color w:val="auto"/>
        </w:rPr>
        <w:t>Supplemental Indentures with Consent of Holders</w:t>
      </w:r>
    </w:p>
    <w:p>
      <w:pPr>
        <w:spacing w:after="0" w:line="194" w:lineRule="exact"/>
        <w:rPr>
          <w:sz w:val="20"/>
          <w:szCs w:val="20"/>
          <w:color w:val="auto"/>
        </w:rPr>
      </w:pPr>
    </w:p>
    <w:p>
      <w:pPr>
        <w:ind w:right="40" w:firstLine="549"/>
        <w:spacing w:after="0" w:line="261" w:lineRule="auto"/>
        <w:rPr>
          <w:sz w:val="20"/>
          <w:szCs w:val="20"/>
          <w:color w:val="auto"/>
        </w:rPr>
      </w:pPr>
      <w:r>
        <w:rPr>
          <w:rFonts w:ascii="Times New Roman" w:cs="Times New Roman" w:eastAsia="Times New Roman" w:hAnsi="Times New Roman"/>
          <w:sz w:val="15"/>
          <w:szCs w:val="15"/>
          <w:color w:val="auto"/>
        </w:rPr>
        <w:t>With the consent of the Holders of not less than a majority (or such greater amount as is provided for a particular series of Securities) in principal amount of the Outstanding Securities of each series affected by such supplemental indenture (including consents obtained in connection with a purchase of, or tender offer or exchange offer for, Securities of such series), voting as a single class,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or of the Securities of such series; provided, however, that no such supplemental indenture, without the consent of the Holder of each Outstanding Security affected thereby, shall:</w:t>
      </w:r>
    </w:p>
    <w:p>
      <w:pPr>
        <w:spacing w:after="0" w:line="157" w:lineRule="exact"/>
        <w:rPr>
          <w:sz w:val="20"/>
          <w:szCs w:val="20"/>
          <w:color w:val="auto"/>
        </w:rPr>
      </w:pPr>
    </w:p>
    <w:p>
      <w:pPr>
        <w:ind w:firstLine="541"/>
        <w:spacing w:after="0" w:line="259" w:lineRule="auto"/>
        <w:tabs>
          <w:tab w:leader="none" w:pos="766"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Stated Maturity of the principal of, or any premium or installment of interest on or any Additional Amounts with respect to, any Security, or reduce the principal amount thereof or the rate (or modify the calculation of such rate in a manner that reduces such rate) of interest thereon or any Additional Amounts with respect thereto, or any premium payable upon the redemption thereof or otherwise, or change the obligation of the Company to pay Additional Amounts pursuant to Section 10.4, or reduce the amount of the principal of an Original Issue Discount Security that would be due and payable upon a declaration of acceleration of the Maturity thereof pursuant to Section 5.2 or the amount thereof provable in bankruptcy pursuant to Section 5.4, change the redemption provisions (other than provisions relating to notice periods (to the extent consistent with the Applicable Procedures of the Depositary) for redemption and conditions to redemption) or adversely affect the right of repayment at the option of any Holder as contemplated by Article 13, or change the Place of Payment for any Security or the Currency in which the principal of, any premium or interest on, or any Additional Amounts with respect to any Security is payable, or impair the right to institute suit for the enforcement of any such payment on or after the Stated Maturity thereof (or, in the case of redemption, on or after the Redemption Date or, in the case of repayment at the option of the Holder, on or after the date for repayment);</w:t>
      </w:r>
    </w:p>
    <w:p>
      <w:pPr>
        <w:spacing w:after="0" w:line="156" w:lineRule="exact"/>
        <w:rPr>
          <w:rFonts w:ascii="Times New Roman" w:cs="Times New Roman" w:eastAsia="Times New Roman" w:hAnsi="Times New Roman"/>
          <w:sz w:val="15"/>
          <w:szCs w:val="15"/>
          <w:color w:val="auto"/>
        </w:rPr>
      </w:pPr>
    </w:p>
    <w:p>
      <w:pPr>
        <w:ind w:right="40" w:firstLine="541"/>
        <w:spacing w:after="0" w:line="272" w:lineRule="auto"/>
        <w:tabs>
          <w:tab w:leader="none" w:pos="766"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 the percentage in principal amount of the Outstanding Securities of any series the consent of the Holders of which are required for any such supplemental indenture, or the consent of whose Holders is required for any waiver (of compliance with certain provisions of this Indenture or certain defaults hereunder and their consequences) provided for in this Indenture, or reduce the requirements of Section 15.4 for quorum or voting;</w:t>
      </w:r>
    </w:p>
    <w:p>
      <w:pPr>
        <w:spacing w:after="0" w:line="146" w:lineRule="exact"/>
        <w:rPr>
          <w:rFonts w:ascii="Times New Roman" w:cs="Times New Roman" w:eastAsia="Times New Roman" w:hAnsi="Times New Roman"/>
          <w:sz w:val="15"/>
          <w:szCs w:val="15"/>
          <w:color w:val="auto"/>
        </w:rPr>
      </w:pPr>
    </w:p>
    <w:p>
      <w:pPr>
        <w:ind w:right="220" w:firstLine="541"/>
        <w:spacing w:after="0" w:line="290" w:lineRule="auto"/>
        <w:tabs>
          <w:tab w:leader="none" w:pos="766"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modify any of the provisions of this Section 9.2 or Section 5.13 or Section 10.5, except to increase any such percentage or to provide that certain other provisions of this Indenture cannot be modified or waived without the consent of the Holder of each Outstanding Security affected thereby; or</w:t>
      </w:r>
    </w:p>
    <w:p>
      <w:pPr>
        <w:spacing w:after="0" w:line="132" w:lineRule="exact"/>
        <w:rPr>
          <w:rFonts w:ascii="Times New Roman" w:cs="Times New Roman" w:eastAsia="Times New Roman" w:hAnsi="Times New Roman"/>
          <w:sz w:val="15"/>
          <w:szCs w:val="15"/>
          <w:color w:val="auto"/>
        </w:rPr>
      </w:pPr>
    </w:p>
    <w:p>
      <w:pPr>
        <w:ind w:right="240" w:firstLine="541"/>
        <w:spacing w:after="0" w:line="290" w:lineRule="auto"/>
        <w:tabs>
          <w:tab w:leader="none" w:pos="766" w:val="left"/>
        </w:tabs>
        <w:numPr>
          <w:ilvl w:val="0"/>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that adversely affects the right to convert or exchange any Security into or for Common Stock or other securities, cash or other property in accordance with the terms of such Security.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64" w:name="page165"/>
    <w:bookmarkEnd w:id="164"/>
    <w:p>
      <w:pPr>
        <w:ind w:right="40" w:firstLine="549"/>
        <w:spacing w:after="0" w:line="272" w:lineRule="auto"/>
        <w:rPr>
          <w:sz w:val="20"/>
          <w:szCs w:val="20"/>
          <w:color w:val="auto"/>
        </w:rPr>
      </w:pPr>
      <w:r>
        <w:rPr>
          <w:rFonts w:ascii="Times New Roman" w:cs="Times New Roman" w:eastAsia="Times New Roman" w:hAnsi="Times New Roman"/>
          <w:sz w:val="15"/>
          <w:szCs w:val="15"/>
          <w:color w:val="auto"/>
        </w:rPr>
        <w:t>A supplemental indenture that changes or eliminates any covenant or other provision of this Indenture that shall have been included expressly and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46" w:lineRule="exact"/>
        <w:rPr>
          <w:sz w:val="20"/>
          <w:szCs w:val="20"/>
          <w:color w:val="auto"/>
        </w:rPr>
      </w:pPr>
    </w:p>
    <w:p>
      <w:pPr>
        <w:ind w:right="360" w:firstLine="549"/>
        <w:spacing w:after="0" w:line="290" w:lineRule="auto"/>
        <w:rPr>
          <w:sz w:val="20"/>
          <w:szCs w:val="20"/>
          <w:color w:val="auto"/>
        </w:rPr>
      </w:pPr>
      <w:r>
        <w:rPr>
          <w:rFonts w:ascii="Times New Roman" w:cs="Times New Roman" w:eastAsia="Times New Roman" w:hAnsi="Times New Roman"/>
          <w:sz w:val="15"/>
          <w:szCs w:val="15"/>
          <w:color w:val="auto"/>
        </w:rPr>
        <w:t>It shall not be necessary for any Act of Holders of Securities under this Section 9.2 to approve the particular form of any proposed supplemental indenture, but it shall be sufficient if such Act shall approve the substance thereof.</w:t>
      </w:r>
    </w:p>
    <w:p>
      <w:pPr>
        <w:spacing w:after="0" w:line="133"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Upon the request of the Company, accompanied by a copy of a Board Resolution authorizing the execution of any such supplemental indenture, and upon the filing with the Trustee of evidence of the consent of Holders of Securities as aforesaid, the Trustee shall join with the Company and any guarantors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9.3 </w:t>
      </w:r>
      <w:r>
        <w:rPr>
          <w:rFonts w:ascii="Times New Roman" w:cs="Times New Roman" w:eastAsia="Times New Roman" w:hAnsi="Times New Roman"/>
          <w:sz w:val="15"/>
          <w:szCs w:val="15"/>
          <w:u w:val="single" w:color="auto"/>
          <w:color w:val="auto"/>
        </w:rPr>
        <w:t>Execution of Supplemental Indentures</w:t>
      </w:r>
    </w:p>
    <w:p>
      <w:pPr>
        <w:spacing w:after="0" w:line="194" w:lineRule="exact"/>
        <w:rPr>
          <w:sz w:val="20"/>
          <w:szCs w:val="20"/>
          <w:color w:val="auto"/>
        </w:rPr>
      </w:pPr>
    </w:p>
    <w:p>
      <w:pPr>
        <w:ind w:right="60" w:firstLine="549"/>
        <w:spacing w:after="0" w:line="266" w:lineRule="auto"/>
        <w:rPr>
          <w:sz w:val="20"/>
          <w:szCs w:val="20"/>
          <w:color w:val="auto"/>
        </w:rPr>
      </w:pPr>
      <w:r>
        <w:rPr>
          <w:rFonts w:ascii="Times New Roman" w:cs="Times New Roman" w:eastAsia="Times New Roman" w:hAnsi="Times New Roman"/>
          <w:sz w:val="15"/>
          <w:szCs w:val="15"/>
          <w:color w:val="auto"/>
        </w:rPr>
        <w:t>As a condition to executing, or accepting the additional trusts created by, any supplemental indenture permitted by this Article 9 or the modifications thereby of the trusts created by this Indenture, the Trustee shall be entitled to receive, and shall be fully protected in relying upon, an Officer’s Certificate and Opinion of Counsel stating that the execution of such supplemental indenture is authorized or permitted by this Indenture. The Trustee may, but shall not be obligated to, enter into any such supplemental indenture that affects the Trustee’s own rights, duties or immunities under this Indenture or otherwise.</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9.4 </w:t>
      </w:r>
      <w:r>
        <w:rPr>
          <w:rFonts w:ascii="Times New Roman" w:cs="Times New Roman" w:eastAsia="Times New Roman" w:hAnsi="Times New Roman"/>
          <w:sz w:val="15"/>
          <w:szCs w:val="15"/>
          <w:u w:val="single" w:color="auto"/>
          <w:color w:val="auto"/>
        </w:rPr>
        <w:t>Revocation of Consents</w:t>
      </w:r>
    </w:p>
    <w:p>
      <w:pPr>
        <w:spacing w:after="0" w:line="194" w:lineRule="exact"/>
        <w:rPr>
          <w:sz w:val="20"/>
          <w:szCs w:val="20"/>
          <w:color w:val="auto"/>
        </w:rPr>
      </w:pPr>
    </w:p>
    <w:p>
      <w:pPr>
        <w:ind w:firstLine="549"/>
        <w:spacing w:after="0" w:line="263" w:lineRule="auto"/>
        <w:rPr>
          <w:sz w:val="20"/>
          <w:szCs w:val="20"/>
          <w:color w:val="auto"/>
        </w:rPr>
      </w:pPr>
      <w:r>
        <w:rPr>
          <w:rFonts w:ascii="Times New Roman" w:cs="Times New Roman" w:eastAsia="Times New Roman" w:hAnsi="Times New Roman"/>
          <w:sz w:val="15"/>
          <w:szCs w:val="15"/>
          <w:color w:val="auto"/>
        </w:rPr>
        <w:t>Notwithstanding clause (5) of Section 1.4, any Holder of a Security or future Holder of the same Security may revoke a consent as to its Security or portion of a Security. Any revocation of a consent by the Holder of a Security or any such future Holder shall be effective only if the Trustee receives the notice of revocation before the date on which the Trustee receives an Officer’s Certificate from the Company certifying that the requisite number of consents have been received. If, however, a record date is fixed pursuant to Section 1.4, then notwithstanding the second preceding sentence, those Persons who were Holders at such record date (or their duly designated proxies), and only those Persons, shall be entitled to revoke any consent previously given, whether or not such Persons continue to be Holders after such record date.</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9.5 </w:t>
      </w:r>
      <w:r>
        <w:rPr>
          <w:rFonts w:ascii="Times New Roman" w:cs="Times New Roman" w:eastAsia="Times New Roman" w:hAnsi="Times New Roman"/>
          <w:sz w:val="15"/>
          <w:szCs w:val="15"/>
          <w:u w:val="single" w:color="auto"/>
          <w:color w:val="auto"/>
        </w:rPr>
        <w:t>Effect of Supplemental Indentures</w:t>
      </w:r>
    </w:p>
    <w:p>
      <w:pPr>
        <w:spacing w:after="0" w:line="194" w:lineRule="exact"/>
        <w:rPr>
          <w:sz w:val="20"/>
          <w:szCs w:val="20"/>
          <w:color w:val="auto"/>
        </w:rPr>
      </w:pPr>
    </w:p>
    <w:p>
      <w:pPr>
        <w:ind w:right="60" w:firstLine="549"/>
        <w:spacing w:after="0" w:line="259" w:lineRule="auto"/>
        <w:rPr>
          <w:sz w:val="20"/>
          <w:szCs w:val="20"/>
          <w:color w:val="auto"/>
        </w:rPr>
      </w:pPr>
      <w:r>
        <w:rPr>
          <w:rFonts w:ascii="Times New Roman" w:cs="Times New Roman" w:eastAsia="Times New Roman" w:hAnsi="Times New Roman"/>
          <w:sz w:val="15"/>
          <w:szCs w:val="15"/>
          <w:color w:val="auto"/>
        </w:rPr>
        <w:t>A supplemental indenture or waiver becomes effective upon the (a) receipt by the Company or the Trustee of the requisite number of consents (if required), (b) satisfaction of any conditions to effectiveness as set forth in this Indenture or any such supplemental indenture or waiver and (c) with respect to a supplemental indenture, execution of such supplemental indenture by the Company and the Trustee. After a supplemental indenture or waiver becomes effective, it shall bind every Holder, unless it makes a change described in any of clauses (1) through (4) of Section 9.2, in which case, the supplemental indenture or waiver shall bind a Holder of a Security who is affected thereby only if it has consented to such supplemental indenture or waiver and every subsequent Holder of a Security or portion of a Security that evidences the same debt as the consenting Holder’s Security. Upon the effectiveness of any supplemental indenture under this Article, this Indenture shall be modified in accordance therewith, and such supplemental indenture shall form a part of this Indenture for all purposes; and, except as provided in the preceding sentence, every Holder of Securities theretofore or thereafter authenticated and delivered hereunder shall be bound thereby.</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65" w:name="page166"/>
    <w:bookmarkEnd w:id="165"/>
    <w:p>
      <w:pPr>
        <w:ind w:left="540"/>
        <w:spacing w:after="0"/>
        <w:rPr>
          <w:sz w:val="20"/>
          <w:szCs w:val="20"/>
          <w:color w:val="auto"/>
        </w:rPr>
      </w:pPr>
      <w:r>
        <w:rPr>
          <w:rFonts w:ascii="Times New Roman" w:cs="Times New Roman" w:eastAsia="Times New Roman" w:hAnsi="Times New Roman"/>
          <w:sz w:val="15"/>
          <w:szCs w:val="15"/>
          <w:color w:val="auto"/>
        </w:rPr>
        <w:t xml:space="preserve">Section 9.6 </w:t>
      </w:r>
      <w:r>
        <w:rPr>
          <w:rFonts w:ascii="Times New Roman" w:cs="Times New Roman" w:eastAsia="Times New Roman" w:hAnsi="Times New Roman"/>
          <w:sz w:val="15"/>
          <w:szCs w:val="15"/>
          <w:u w:val="single" w:color="auto"/>
          <w:color w:val="auto"/>
        </w:rPr>
        <w:t>Reference in Securities to Supplemental Indentures</w:t>
      </w:r>
    </w:p>
    <w:p>
      <w:pPr>
        <w:spacing w:after="0" w:line="194" w:lineRule="exact"/>
        <w:rPr>
          <w:sz w:val="20"/>
          <w:szCs w:val="20"/>
          <w:color w:val="auto"/>
        </w:rPr>
      </w:pPr>
    </w:p>
    <w:p>
      <w:pPr>
        <w:ind w:right="20" w:firstLine="549"/>
        <w:spacing w:after="0" w:line="266" w:lineRule="auto"/>
        <w:rPr>
          <w:sz w:val="20"/>
          <w:szCs w:val="20"/>
          <w:color w:val="auto"/>
        </w:rPr>
      </w:pPr>
      <w:r>
        <w:rPr>
          <w:rFonts w:ascii="Times New Roman" w:cs="Times New Roman" w:eastAsia="Times New Roman" w:hAnsi="Times New Roman"/>
          <w:sz w:val="15"/>
          <w:szCs w:val="15"/>
          <w:color w:val="auto"/>
        </w:rPr>
        <w:t>Securities of any series authenticated and delivered after the execution of any supplemental indenture pursuant to this Article 9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9.7 </w:t>
      </w:r>
      <w:r>
        <w:rPr>
          <w:rFonts w:ascii="Times New Roman" w:cs="Times New Roman" w:eastAsia="Times New Roman" w:hAnsi="Times New Roman"/>
          <w:sz w:val="15"/>
          <w:szCs w:val="15"/>
          <w:u w:val="single" w:color="auto"/>
          <w:color w:val="auto"/>
        </w:rPr>
        <w:t>Conformity with Trust Indenture Act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Every supplemental indenture executed pursuant to this Article 9 shall conform to the requirements of the Trust Indenture Act as then in effect.</w:t>
      </w:r>
    </w:p>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9.8 </w:t>
      </w:r>
      <w:r>
        <w:rPr>
          <w:rFonts w:ascii="Times New Roman" w:cs="Times New Roman" w:eastAsia="Times New Roman" w:hAnsi="Times New Roman"/>
          <w:sz w:val="15"/>
          <w:szCs w:val="15"/>
          <w:u w:val="single" w:color="auto"/>
          <w:color w:val="auto"/>
        </w:rPr>
        <w:t>Notice of Supplemental Indenture</w:t>
      </w:r>
    </w:p>
    <w:p>
      <w:pPr>
        <w:spacing w:after="0" w:line="194" w:lineRule="exact"/>
        <w:rPr>
          <w:sz w:val="20"/>
          <w:szCs w:val="20"/>
          <w:color w:val="auto"/>
        </w:rPr>
      </w:pPr>
    </w:p>
    <w:p>
      <w:pPr>
        <w:jc w:val="both"/>
        <w:ind w:firstLine="549"/>
        <w:spacing w:after="0" w:line="272" w:lineRule="auto"/>
        <w:rPr>
          <w:sz w:val="20"/>
          <w:szCs w:val="20"/>
          <w:color w:val="auto"/>
        </w:rPr>
      </w:pPr>
      <w:r>
        <w:rPr>
          <w:rFonts w:ascii="Times New Roman" w:cs="Times New Roman" w:eastAsia="Times New Roman" w:hAnsi="Times New Roman"/>
          <w:sz w:val="15"/>
          <w:szCs w:val="15"/>
          <w:color w:val="auto"/>
        </w:rPr>
        <w:t>Promptly after the execution by the Company and the Trustee of any supplemental indenture pursuant to Section 9.2, the Company shall transmit to the Holders of Outstanding Securities of any series affected thereby a notice setting forth the substance of such supplemental indenture; provided, that any failure to provide, or any defect in any such notice, shall not impair the validity of any such supplemental indenture.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10</w:t>
      </w:r>
    </w:p>
    <w:p>
      <w:pPr>
        <w:spacing w:after="0" w:line="19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5"/>
          <w:szCs w:val="15"/>
          <w:b w:val="1"/>
          <w:bCs w:val="1"/>
          <w:color w:val="auto"/>
        </w:rPr>
        <w:t>COVENANTS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10.1 </w:t>
      </w:r>
      <w:r>
        <w:rPr>
          <w:rFonts w:ascii="Times New Roman" w:cs="Times New Roman" w:eastAsia="Times New Roman" w:hAnsi="Times New Roman"/>
          <w:sz w:val="15"/>
          <w:szCs w:val="15"/>
          <w:u w:val="single" w:color="auto"/>
          <w:color w:val="auto"/>
        </w:rPr>
        <w:t>Payment of Principal, Any Premium, Interest and Additional Amounts</w:t>
      </w:r>
    </w:p>
    <w:p>
      <w:pPr>
        <w:spacing w:after="0" w:line="194"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5"/>
          <w:szCs w:val="15"/>
          <w:color w:val="auto"/>
        </w:rPr>
        <w:t>The Company covenants and agrees for the benefit of the Holders of the Securities of each series that it will duly and punctually pay the principal of, any premium and interest on and any Additional Amounts with respect to, the Securities of such series in accordance with the terms thereof and this Indenture.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66" w:name="page167"/>
    <w:bookmarkEnd w:id="166"/>
    <w:p>
      <w:pPr>
        <w:ind w:left="540"/>
        <w:spacing w:after="0"/>
        <w:rPr>
          <w:sz w:val="20"/>
          <w:szCs w:val="20"/>
          <w:color w:val="auto"/>
        </w:rPr>
      </w:pPr>
      <w:r>
        <w:rPr>
          <w:rFonts w:ascii="Times New Roman" w:cs="Times New Roman" w:eastAsia="Times New Roman" w:hAnsi="Times New Roman"/>
          <w:sz w:val="15"/>
          <w:szCs w:val="15"/>
          <w:color w:val="auto"/>
        </w:rPr>
        <w:t xml:space="preserve">Section 10.2 </w:t>
      </w:r>
      <w:r>
        <w:rPr>
          <w:rFonts w:ascii="Times New Roman" w:cs="Times New Roman" w:eastAsia="Times New Roman" w:hAnsi="Times New Roman"/>
          <w:sz w:val="15"/>
          <w:szCs w:val="15"/>
          <w:u w:val="single" w:color="auto"/>
          <w:color w:val="auto"/>
        </w:rPr>
        <w:t>Maintenance of Office or Agency</w:t>
      </w:r>
    </w:p>
    <w:p>
      <w:pPr>
        <w:spacing w:after="0" w:line="194" w:lineRule="exact"/>
        <w:rPr>
          <w:sz w:val="20"/>
          <w:szCs w:val="20"/>
          <w:color w:val="auto"/>
        </w:rPr>
      </w:pPr>
    </w:p>
    <w:p>
      <w:pPr>
        <w:ind w:right="20" w:firstLine="549"/>
        <w:spacing w:after="0" w:line="261" w:lineRule="auto"/>
        <w:rPr>
          <w:sz w:val="20"/>
          <w:szCs w:val="20"/>
          <w:color w:val="auto"/>
        </w:rPr>
      </w:pPr>
      <w:r>
        <w:rPr>
          <w:rFonts w:ascii="Times New Roman" w:cs="Times New Roman" w:eastAsia="Times New Roman" w:hAnsi="Times New Roman"/>
          <w:sz w:val="15"/>
          <w:szCs w:val="15"/>
          <w:color w:val="auto"/>
        </w:rPr>
        <w:t>The Company shall maintain in each Place of Payment for any series of Securities an Office or Agency where Securities of such series may be presented or surrendered for payment, where Securities of such series may be surrendered for registration of transfer or exchange, where Securities of such series that are convertible or exchangeable may be surrendered for conversion or exchange, and where notices and demands to or upon the Company in respect of the Securities of such series relating thereto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57"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shall give prompt written notice to the Trustee of any such designation or rescission and of any change in the location of any such other Office or Agency.</w:t>
      </w:r>
    </w:p>
    <w:p>
      <w:pPr>
        <w:spacing w:after="0" w:line="151" w:lineRule="exact"/>
        <w:rPr>
          <w:sz w:val="20"/>
          <w:szCs w:val="20"/>
          <w:color w:val="auto"/>
        </w:rPr>
      </w:pPr>
    </w:p>
    <w:p>
      <w:pPr>
        <w:ind w:right="160" w:firstLine="549"/>
        <w:spacing w:after="0" w:line="265" w:lineRule="auto"/>
        <w:rPr>
          <w:sz w:val="20"/>
          <w:szCs w:val="20"/>
          <w:color w:val="auto"/>
        </w:rPr>
      </w:pPr>
      <w:r>
        <w:rPr>
          <w:rFonts w:ascii="Times New Roman" w:cs="Times New Roman" w:eastAsia="Times New Roman" w:hAnsi="Times New Roman"/>
          <w:sz w:val="15"/>
          <w:szCs w:val="15"/>
          <w:color w:val="auto"/>
        </w:rPr>
        <w:t>Unless otherwise provided in or pursuant to this Indenture, the Company hereby designates as the Place of Payment for each series of Securities the Borough of Manhattan, The City of New York, and initially appoints the Corporate Trust Office of ____________________, located at ____________________, as the Office or Agency of the Company in</w:t>
      </w:r>
    </w:p>
    <w:p>
      <w:pPr>
        <w:ind w:right="140"/>
        <w:spacing w:after="0" w:line="269" w:lineRule="auto"/>
        <w:rPr>
          <w:sz w:val="20"/>
          <w:szCs w:val="20"/>
          <w:color w:val="auto"/>
        </w:rPr>
      </w:pPr>
      <w:r>
        <w:rPr>
          <w:rFonts w:ascii="Times New Roman" w:cs="Times New Roman" w:eastAsia="Times New Roman" w:hAnsi="Times New Roman"/>
          <w:sz w:val="15"/>
          <w:szCs w:val="15"/>
          <w:color w:val="auto"/>
        </w:rPr>
        <w:t>the Borough of Manhattan, The City of New York, for such purpose. The Company may subsequently appoint a different Office or Agency in the Borough of Manhattan, The City of New York, for the Securities of any series.</w:t>
      </w:r>
    </w:p>
    <w:p>
      <w:pPr>
        <w:spacing w:after="0" w:line="14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10.3 </w:t>
      </w:r>
      <w:r>
        <w:rPr>
          <w:rFonts w:ascii="Times New Roman" w:cs="Times New Roman" w:eastAsia="Times New Roman" w:hAnsi="Times New Roman"/>
          <w:sz w:val="15"/>
          <w:szCs w:val="15"/>
          <w:u w:val="single" w:color="auto"/>
          <w:color w:val="auto"/>
        </w:rPr>
        <w:t>Money for Securities Payments to Be Held in Trust</w:t>
      </w:r>
    </w:p>
    <w:p>
      <w:pPr>
        <w:spacing w:after="0" w:line="194" w:lineRule="exact"/>
        <w:rPr>
          <w:sz w:val="20"/>
          <w:szCs w:val="20"/>
          <w:color w:val="auto"/>
        </w:rPr>
      </w:pPr>
    </w:p>
    <w:p>
      <w:pPr>
        <w:ind w:right="60" w:firstLine="549"/>
        <w:spacing w:after="0" w:line="263" w:lineRule="auto"/>
        <w:rPr>
          <w:sz w:val="20"/>
          <w:szCs w:val="20"/>
          <w:color w:val="auto"/>
        </w:rPr>
      </w:pPr>
      <w:r>
        <w:rPr>
          <w:rFonts w:ascii="Times New Roman" w:cs="Times New Roman" w:eastAsia="Times New Roman" w:hAnsi="Times New Roman"/>
          <w:sz w:val="15"/>
          <w:szCs w:val="15"/>
          <w:color w:val="auto"/>
        </w:rPr>
        <w:t>If the Company shall at any time act as its own Paying Agent with respect to any series of Securities, it shall, on or before each due date of the principal of, any premium or interest on or Additional Amounts with respect to any of the Securities of such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3.1 for the Securities of such series) sufficient to pay the principal or any premium, interest or Additional Amounts so becoming due until such sums shall be paid to such Persons or otherwise disposed of as herein provided, and shall promptly notify the Trustee of its failure so to act.</w:t>
      </w:r>
    </w:p>
    <w:p>
      <w:pPr>
        <w:spacing w:after="0" w:line="154" w:lineRule="exact"/>
        <w:rPr>
          <w:sz w:val="20"/>
          <w:szCs w:val="20"/>
          <w:color w:val="auto"/>
        </w:rPr>
      </w:pPr>
    </w:p>
    <w:p>
      <w:pPr>
        <w:ind w:right="60" w:firstLine="549"/>
        <w:spacing w:after="0" w:line="266" w:lineRule="auto"/>
        <w:rPr>
          <w:sz w:val="20"/>
          <w:szCs w:val="20"/>
          <w:color w:val="auto"/>
        </w:rPr>
      </w:pPr>
      <w:r>
        <w:rPr>
          <w:rFonts w:ascii="Times New Roman" w:cs="Times New Roman" w:eastAsia="Times New Roman" w:hAnsi="Times New Roman"/>
          <w:sz w:val="15"/>
          <w:szCs w:val="15"/>
          <w:color w:val="auto"/>
        </w:rPr>
        <w:t>Whenever the Company shall have one or more Paying Agents for any series of Securities, it shall, on or prior to each due date of the principal of, any premium or interest on or any Additional Amounts with respect to any Securities of such series, deposit with any Paying Agent a sum (in the currency or currencies, currency unit or units or composite currency or currencies described in the preceding paragraph) sufficient to pay the principal or any premium, interest or Additional Amounts so becoming due, such sum to be held in trust for the benefit of the Persons entitled thereto, and (unless such Paying Agent is the Trustee) the Company will promptly notify the Trustee of its failure so to act.</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167" w:name="page168"/>
    <w:bookmarkEnd w:id="167"/>
    <w:p>
      <w:pPr>
        <w:ind w:right="300" w:firstLine="549"/>
        <w:spacing w:after="0" w:line="290" w:lineRule="auto"/>
        <w:rPr>
          <w:sz w:val="20"/>
          <w:szCs w:val="20"/>
          <w:color w:val="auto"/>
        </w:rPr>
      </w:pPr>
      <w:r>
        <w:rPr>
          <w:rFonts w:ascii="Times New Roman" w:cs="Times New Roman" w:eastAsia="Times New Roman" w:hAnsi="Times New Roman"/>
          <w:sz w:val="15"/>
          <w:szCs w:val="15"/>
          <w:color w:val="auto"/>
        </w:rPr>
        <w:t>The Company shall cause each Paying Agent for any series of Securities (other than the Trustee) to execute and deliver to the Trustee an instrument in which such Paying Agent shall agree with the Trustee, subject to the provisions of this Section 10.3, that such Paying Agent shall:</w:t>
      </w:r>
    </w:p>
    <w:p>
      <w:pPr>
        <w:spacing w:after="0" w:line="133" w:lineRule="exact"/>
        <w:rPr>
          <w:sz w:val="20"/>
          <w:szCs w:val="20"/>
          <w:color w:val="auto"/>
        </w:rPr>
      </w:pPr>
    </w:p>
    <w:p>
      <w:pPr>
        <w:ind w:right="100" w:firstLine="541"/>
        <w:spacing w:after="0" w:line="290" w:lineRule="auto"/>
        <w:tabs>
          <w:tab w:leader="none" w:pos="766"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 all sums held by it for the payment of the principal of, any premium or interest on or any Additional Amounts with respect to Securities of such series in trust for the benefit of the Persons entitled thereto until such sums shall be paid to such Persons or otherwise disposed of as provided in or pursuant to this Indenture;</w:t>
      </w:r>
    </w:p>
    <w:p>
      <w:pPr>
        <w:spacing w:after="0" w:line="132" w:lineRule="exact"/>
        <w:rPr>
          <w:rFonts w:ascii="Times New Roman" w:cs="Times New Roman" w:eastAsia="Times New Roman" w:hAnsi="Times New Roman"/>
          <w:sz w:val="15"/>
          <w:szCs w:val="15"/>
          <w:color w:val="auto"/>
        </w:rPr>
      </w:pPr>
    </w:p>
    <w:p>
      <w:pPr>
        <w:ind w:right="60" w:firstLine="541"/>
        <w:spacing w:after="0" w:line="290" w:lineRule="auto"/>
        <w:tabs>
          <w:tab w:leader="none" w:pos="766"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give the Trustee notice of any default by the Company (or any other obligor upon the Securities of such series) in the making of any payment of principal, any premium or interest on or any Additional Amounts with respect to the Securities of such series; and</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time during the continuance of any such default, upon the written request of the Trustee, forthwith pay to the Trustee all sums so held in trust by such Paying Agent.</w:t>
      </w:r>
    </w:p>
    <w:p>
      <w:pPr>
        <w:spacing w:after="0" w:line="194" w:lineRule="exact"/>
        <w:rPr>
          <w:sz w:val="20"/>
          <w:szCs w:val="20"/>
          <w:color w:val="auto"/>
        </w:rPr>
      </w:pPr>
    </w:p>
    <w:p>
      <w:pPr>
        <w:ind w:right="60" w:firstLine="549"/>
        <w:spacing w:after="0" w:line="266" w:lineRule="auto"/>
        <w:rPr>
          <w:sz w:val="20"/>
          <w:szCs w:val="20"/>
          <w:color w:val="auto"/>
        </w:rPr>
      </w:pPr>
      <w:r>
        <w:rPr>
          <w:rFonts w:ascii="Times New Roman" w:cs="Times New Roman" w:eastAsia="Times New Roman" w:hAnsi="Times New Roman"/>
          <w:sz w:val="15"/>
          <w:szCs w:val="15"/>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terms as those upon which such sums were held by the Company or such Paying Agent; and, upon such payment by any Paying Agent to the Trustee, such Paying Agent shall be released from all further liability with respect to such sums.</w:t>
      </w:r>
    </w:p>
    <w:p>
      <w:pPr>
        <w:spacing w:after="0" w:line="151" w:lineRule="exact"/>
        <w:rPr>
          <w:sz w:val="20"/>
          <w:szCs w:val="20"/>
          <w:color w:val="auto"/>
        </w:rPr>
      </w:pPr>
    </w:p>
    <w:p>
      <w:pPr>
        <w:ind w:firstLine="549"/>
        <w:spacing w:after="0" w:line="259" w:lineRule="auto"/>
        <w:rPr>
          <w:sz w:val="20"/>
          <w:szCs w:val="20"/>
          <w:color w:val="auto"/>
        </w:rPr>
      </w:pPr>
      <w:r>
        <w:rPr>
          <w:rFonts w:ascii="Times New Roman" w:cs="Times New Roman" w:eastAsia="Times New Roman" w:hAnsi="Times New Roman"/>
          <w:sz w:val="15"/>
          <w:szCs w:val="15"/>
          <w:color w:val="auto"/>
        </w:rPr>
        <w:t>Except as otherwise provided herein or pursuant hereto, any money deposited with the Trustee or any Paying Agent, or then held by the Company, in trust for the payment of the principal of, any premium or interest on or any Additional Amounts with respect to any Security of any series and remaining unclaimed for two years after such principal or any such premium or interest or any such Additional Amounts shall have become due and payable shall, subject to applicable escheat law,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either cause to be published once, in an Authorized Newspaper in each Place of Payment for such series, or may cause to be mailed once to Holders of Registered Securities of such series, notice that such money remains unclaimed and that, after a date specified therein, which shall not be less than 30 days from the date of such publication or mailing nor later than two years after such principal and any premium or interest or Additional Amounts shall have become due and payable, any unclaimed balance of such money then remaining will be repaid to the Company.</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68" w:name="page169"/>
    <w:bookmarkEnd w:id="168"/>
    <w:p>
      <w:pPr>
        <w:ind w:left="540"/>
        <w:spacing w:after="0"/>
        <w:rPr>
          <w:sz w:val="20"/>
          <w:szCs w:val="20"/>
          <w:color w:val="auto"/>
        </w:rPr>
      </w:pPr>
      <w:r>
        <w:rPr>
          <w:rFonts w:ascii="Times New Roman" w:cs="Times New Roman" w:eastAsia="Times New Roman" w:hAnsi="Times New Roman"/>
          <w:sz w:val="15"/>
          <w:szCs w:val="15"/>
          <w:color w:val="auto"/>
        </w:rPr>
        <w:t xml:space="preserve">Section 10.4 </w:t>
      </w:r>
      <w:r>
        <w:rPr>
          <w:rFonts w:ascii="Times New Roman" w:cs="Times New Roman" w:eastAsia="Times New Roman" w:hAnsi="Times New Roman"/>
          <w:sz w:val="15"/>
          <w:szCs w:val="15"/>
          <w:u w:val="single" w:color="auto"/>
          <w:color w:val="auto"/>
        </w:rPr>
        <w:t>Additional Amounts</w:t>
      </w:r>
    </w:p>
    <w:p>
      <w:pPr>
        <w:spacing w:after="0" w:line="194" w:lineRule="exact"/>
        <w:rPr>
          <w:sz w:val="20"/>
          <w:szCs w:val="20"/>
          <w:color w:val="auto"/>
        </w:rPr>
      </w:pPr>
    </w:p>
    <w:p>
      <w:pPr>
        <w:ind w:right="20" w:firstLine="549"/>
        <w:spacing w:after="0" w:line="262" w:lineRule="auto"/>
        <w:rPr>
          <w:sz w:val="20"/>
          <w:szCs w:val="20"/>
          <w:color w:val="auto"/>
        </w:rPr>
      </w:pPr>
      <w:r>
        <w:rPr>
          <w:rFonts w:ascii="Times New Roman" w:cs="Times New Roman" w:eastAsia="Times New Roman" w:hAnsi="Times New Roman"/>
          <w:sz w:val="15"/>
          <w:szCs w:val="15"/>
          <w:color w:val="auto"/>
        </w:rPr>
        <w:t>If any Securities of a series provide for the payment of Additional Amounts, the Company agrees to pay to the Holder of any such Security Additional Amounts as provided in or pursuant to this Indenture or such Securities. Whenever in this Indenture there is mentioned, in any context, the payment of the principal of or any premium or interest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Additional Amounts in those provisions hereof where such express mention is not made.</w:t>
      </w:r>
    </w:p>
    <w:p>
      <w:pPr>
        <w:spacing w:after="0" w:line="341" w:lineRule="exact"/>
        <w:rPr>
          <w:sz w:val="20"/>
          <w:szCs w:val="20"/>
          <w:color w:val="auto"/>
        </w:rPr>
      </w:pPr>
    </w:p>
    <w:p>
      <w:pPr>
        <w:ind w:firstLine="549"/>
        <w:spacing w:after="0" w:line="258" w:lineRule="auto"/>
        <w:rPr>
          <w:sz w:val="20"/>
          <w:szCs w:val="20"/>
          <w:color w:val="auto"/>
        </w:rPr>
      </w:pPr>
      <w:r>
        <w:rPr>
          <w:rFonts w:ascii="Times New Roman" w:cs="Times New Roman" w:eastAsia="Times New Roman" w:hAnsi="Times New Roman"/>
          <w:sz w:val="15"/>
          <w:szCs w:val="15"/>
          <w:color w:val="auto"/>
        </w:rPr>
        <w:t>Except as otherwise provided in or pursuant to this Indenture or the Securities of the applicable series, if the Securities of a series provide for the payment of Additional Amounts, at least 10 days prior to the first Interest Payment Date with respect to such series of Securities (or if the Securities of such series shall not bear interest prior to Maturity, the first day on which a payment of principal is made), and at least 10 days prior to each date of payment of principal or interest if there has been any change with respect to the matters set forth in the below-mentioned Officer’s Certificate, the Company shall furnish to the Trustee and the principal Paying Agent or Paying Agents, if other than the Trustee, an Officer’s Certificate instructing the Trustee and such Paying Agent or Paying Agents whether such payment of principal of and premium, if any, or interest on the Securities of such series shall be made to Holders of Securities of such series who are United States Aliens (as demonstrated by delivery of appropriate tax forms) without withholding for or on account of any tax, assessment or other governmental charge described in the Securities of such series. If any such withholding shall be required, then such Officer’s Certificate shall specify by country the amount, if any, required to be withheld on such payments to such Holders of Securities, and the Company agrees to pay to the Trustee or such Paying Agent the Additional Amounts required by the terms of such Securities.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10.4.</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10.5 </w:t>
      </w:r>
      <w:r>
        <w:rPr>
          <w:rFonts w:ascii="Times New Roman" w:cs="Times New Roman" w:eastAsia="Times New Roman" w:hAnsi="Times New Roman"/>
          <w:sz w:val="15"/>
          <w:szCs w:val="15"/>
          <w:u w:val="single" w:color="auto"/>
          <w:color w:val="auto"/>
        </w:rPr>
        <w:t>Waiver of Certain Covenants</w:t>
      </w:r>
    </w:p>
    <w:p>
      <w:pPr>
        <w:spacing w:after="0" w:line="194" w:lineRule="exact"/>
        <w:rPr>
          <w:sz w:val="20"/>
          <w:szCs w:val="20"/>
          <w:color w:val="auto"/>
        </w:rPr>
      </w:pPr>
    </w:p>
    <w:p>
      <w:pPr>
        <w:ind w:right="20" w:firstLine="549"/>
        <w:spacing w:after="0" w:line="261" w:lineRule="auto"/>
        <w:rPr>
          <w:sz w:val="20"/>
          <w:szCs w:val="20"/>
          <w:color w:val="auto"/>
        </w:rPr>
      </w:pPr>
      <w:r>
        <w:rPr>
          <w:rFonts w:ascii="Times New Roman" w:cs="Times New Roman" w:eastAsia="Times New Roman" w:hAnsi="Times New Roman"/>
          <w:sz w:val="15"/>
          <w:szCs w:val="15"/>
          <w:color w:val="auto"/>
        </w:rPr>
        <w:t>The Company may omit in any particular instance to comply with any term, provision or condition specified pursuant to Section 3.1 with respect to the Securities of any series if the Company shall have obtained or filed with the Trustee, prior to the time of such failure or omission, evidence (as described in Section 1.4) of the consent of the Holders of a majority in aggregate principal amount of the Outstanding Securities of such series, by Act of such Holders, either waiving such compliance in such instance or generally waiving compliance with such term, provision or condition, but no such waiver shall extend to or affect such term, provision or condition except to the extent so expressly waived, and, until such waiver shall become effective in accordance with Section 9.5, the obligations of the Company and the duties of the Trustee in respect of any such term, provision or condition shall remain in full force and effect.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15"/>
          <w:szCs w:val="15"/>
          <w:b w:val="1"/>
          <w:bCs w:val="1"/>
          <w:color w:val="auto"/>
        </w:rPr>
        <w:t>ARTICLE 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REDEMPTION OF SECURITIES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11.1 </w:t>
      </w:r>
      <w:r>
        <w:rPr>
          <w:rFonts w:ascii="Times New Roman" w:cs="Times New Roman" w:eastAsia="Times New Roman" w:hAnsi="Times New Roman"/>
          <w:sz w:val="15"/>
          <w:szCs w:val="15"/>
          <w:u w:val="single" w:color="auto"/>
          <w:color w:val="auto"/>
        </w:rPr>
        <w:t>Applicability of Article</w:t>
      </w:r>
    </w:p>
    <w:p>
      <w:pPr>
        <w:spacing w:after="0" w:line="194" w:lineRule="exact"/>
        <w:rPr>
          <w:sz w:val="20"/>
          <w:szCs w:val="20"/>
          <w:color w:val="auto"/>
        </w:rPr>
      </w:pPr>
    </w:p>
    <w:p>
      <w:pPr>
        <w:ind w:right="280" w:firstLine="549"/>
        <w:spacing w:after="0" w:line="290" w:lineRule="auto"/>
        <w:rPr>
          <w:sz w:val="20"/>
          <w:szCs w:val="20"/>
          <w:color w:val="auto"/>
        </w:rPr>
      </w:pPr>
      <w:r>
        <w:rPr>
          <w:rFonts w:ascii="Times New Roman" w:cs="Times New Roman" w:eastAsia="Times New Roman" w:hAnsi="Times New Roman"/>
          <w:sz w:val="15"/>
          <w:szCs w:val="15"/>
          <w:color w:val="auto"/>
        </w:rPr>
        <w:t>Redemption of Securities of any series at the option of the Company as permitted or required by the terms of such Securities shall be made in accordance with the terms of such Securities and (except as otherwise provided herein or pursuant hereto) this Article 11.</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11.2 </w:t>
      </w:r>
      <w:r>
        <w:rPr>
          <w:rFonts w:ascii="Times New Roman" w:cs="Times New Roman" w:eastAsia="Times New Roman" w:hAnsi="Times New Roman"/>
          <w:sz w:val="15"/>
          <w:szCs w:val="15"/>
          <w:u w:val="single" w:color="auto"/>
          <w:color w:val="auto"/>
        </w:rPr>
        <w:t>Election to Redeem; Notice to Trustee</w:t>
      </w:r>
    </w:p>
    <w:p>
      <w:pPr>
        <w:spacing w:after="0" w:line="194" w:lineRule="exact"/>
        <w:rPr>
          <w:sz w:val="20"/>
          <w:szCs w:val="20"/>
          <w:color w:val="auto"/>
        </w:rPr>
      </w:pPr>
    </w:p>
    <w:p>
      <w:pPr>
        <w:ind w:firstLine="549"/>
        <w:spacing w:after="0" w:line="261" w:lineRule="auto"/>
        <w:rPr>
          <w:sz w:val="20"/>
          <w:szCs w:val="20"/>
          <w:color w:val="auto"/>
        </w:rPr>
      </w:pPr>
      <w:r>
        <w:rPr>
          <w:rFonts w:ascii="Times New Roman" w:cs="Times New Roman" w:eastAsia="Times New Roman" w:hAnsi="Times New Roman"/>
          <w:sz w:val="15"/>
          <w:szCs w:val="15"/>
          <w:color w:val="auto"/>
        </w:rPr>
        <w:t>The election of the Company to optionally redeem any Securities shall be evidenced by or pursuant to a Board Resolution. In case of any redemption at the election of the Company of the Securities of any series, the Company shall, at least 60 days prior to the Redemption Date fixed by the Company (unless a shorter notice shall be satisfactory to the Trustee), notify the Trustee of such Redemption Date and of the principal amount of Securities of such series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such Securities or elsewhere in this Indenture, the Company shall furnish the Trustee with an Officer’s Certificate evidencing compliance with such restriction or condition.</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11.3 </w:t>
      </w:r>
      <w:r>
        <w:rPr>
          <w:rFonts w:ascii="Times New Roman" w:cs="Times New Roman" w:eastAsia="Times New Roman" w:hAnsi="Times New Roman"/>
          <w:sz w:val="15"/>
          <w:szCs w:val="15"/>
          <w:u w:val="single" w:color="auto"/>
          <w:color w:val="auto"/>
        </w:rPr>
        <w:t>Selection by Trustee of Securities to Be Redeemed</w:t>
      </w:r>
    </w:p>
    <w:p>
      <w:pPr>
        <w:spacing w:after="0" w:line="194" w:lineRule="exact"/>
        <w:rPr>
          <w:sz w:val="20"/>
          <w:szCs w:val="20"/>
          <w:color w:val="auto"/>
        </w:rPr>
      </w:pPr>
    </w:p>
    <w:p>
      <w:pPr>
        <w:ind w:right="100" w:firstLine="549"/>
        <w:spacing w:after="0" w:line="263" w:lineRule="auto"/>
        <w:rPr>
          <w:sz w:val="20"/>
          <w:szCs w:val="20"/>
          <w:color w:val="auto"/>
        </w:rPr>
      </w:pPr>
      <w:r>
        <w:rPr>
          <w:rFonts w:ascii="Times New Roman" w:cs="Times New Roman" w:eastAsia="Times New Roman" w:hAnsi="Times New Roman"/>
          <w:sz w:val="15"/>
          <w:szCs w:val="15"/>
          <w:color w:val="auto"/>
        </w:rPr>
        <w:t>Unless otherwise indicated for a particular Series by a Board Resolution, an Officer’s Certificate or a supplemental indenture hereto, if less than all of the Securities of any series with the same issue date, interest rate or formula, Stated Maturity and other terms are to be redeemed, the particular Securities to be redeemed shall be selected not more than 60 days prior to the Redemption Date by the Trustee from the Outstanding Securities of such series not previously called for redemption on a pro rata basis or by lot (whichever is consistent with the Trustee’s customary practice); provided, however, that no such partial redemption shall reduce the portion of the principal amount of a Registered Security of such series not redeemed to less than the minimum denomination for a Security of such series established herein or pursuant hereto.</w:t>
      </w:r>
    </w:p>
    <w:p>
      <w:pPr>
        <w:spacing w:after="0" w:line="154" w:lineRule="exact"/>
        <w:rPr>
          <w:sz w:val="20"/>
          <w:szCs w:val="20"/>
          <w:color w:val="auto"/>
        </w:rPr>
      </w:pPr>
    </w:p>
    <w:p>
      <w:pPr>
        <w:ind w:right="400" w:firstLine="549"/>
        <w:spacing w:after="0" w:line="290" w:lineRule="auto"/>
        <w:rPr>
          <w:sz w:val="20"/>
          <w:szCs w:val="20"/>
          <w:color w:val="auto"/>
        </w:rPr>
      </w:pPr>
      <w:r>
        <w:rPr>
          <w:rFonts w:ascii="Times New Roman" w:cs="Times New Roman" w:eastAsia="Times New Roman" w:hAnsi="Times New Roman"/>
          <w:sz w:val="15"/>
          <w:szCs w:val="15"/>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33" w:lineRule="exact"/>
        <w:rPr>
          <w:sz w:val="20"/>
          <w:szCs w:val="20"/>
          <w:color w:val="auto"/>
        </w:rPr>
      </w:pPr>
    </w:p>
    <w:p>
      <w:pPr>
        <w:ind w:right="540" w:firstLine="549"/>
        <w:spacing w:after="0" w:line="290" w:lineRule="auto"/>
        <w:rPr>
          <w:sz w:val="20"/>
          <w:szCs w:val="20"/>
          <w:color w:val="auto"/>
        </w:rPr>
      </w:pPr>
      <w:r>
        <w:rPr>
          <w:rFonts w:ascii="Times New Roman" w:cs="Times New Roman" w:eastAsia="Times New Roman" w:hAnsi="Times New Roman"/>
          <w:sz w:val="15"/>
          <w:szCs w:val="15"/>
          <w:color w:val="auto"/>
        </w:rPr>
        <w:t>For all purposes of this Indenture, unless the context otherwise requires, all provisions relating to the redemption of Securities shall relate, in the case of any Securities redeemed or to be redeemed only in part, to the portion of the principal of such Securities that has been or is to be redeemed.</w:t>
      </w:r>
    </w:p>
    <w:p>
      <w:pPr>
        <w:spacing w:after="0" w:line="133" w:lineRule="exact"/>
        <w:rPr>
          <w:sz w:val="20"/>
          <w:szCs w:val="20"/>
          <w:color w:val="auto"/>
        </w:rPr>
      </w:pPr>
    </w:p>
    <w:p>
      <w:pPr>
        <w:ind w:right="100" w:firstLine="549"/>
        <w:spacing w:after="0" w:line="266" w:lineRule="auto"/>
        <w:rPr>
          <w:sz w:val="20"/>
          <w:szCs w:val="20"/>
          <w:color w:val="auto"/>
        </w:rPr>
      </w:pPr>
      <w:r>
        <w:rPr>
          <w:rFonts w:ascii="Times New Roman" w:cs="Times New Roman" w:eastAsia="Times New Roman" w:hAnsi="Times New Roman"/>
          <w:sz w:val="15"/>
          <w:szCs w:val="15"/>
          <w:color w:val="auto"/>
        </w:rPr>
        <w:t>Unless otherwise specified in or pursuant to this Indenture or the Securities of any series, if any Security selected for partial redemption is converted into or exchanged for Common Stock or other securities, cash or other property in part before termination of the conversion or exchange right with respect to the portion of the Security so selected, the converted portion of such Security shall be deemed (so far as may be) to be the portion selected for redemption. Securities that have been converted or exchanged during a selection of Securities to be redeemed shall be treated by the Trustee as Outstanding for the purpose of such selection.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5" w:right="319" w:bottom="1440" w:gutter="0" w:footer="0" w:header="0"/>
        </w:sectPr>
      </w:pPr>
    </w:p>
    <w:bookmarkStart w:id="170" w:name="page171"/>
    <w:bookmarkEnd w:id="170"/>
    <w:p>
      <w:pPr>
        <w:ind w:left="540"/>
        <w:spacing w:after="0"/>
        <w:rPr>
          <w:sz w:val="20"/>
          <w:szCs w:val="20"/>
          <w:color w:val="auto"/>
        </w:rPr>
      </w:pPr>
      <w:r>
        <w:rPr>
          <w:rFonts w:ascii="Times New Roman" w:cs="Times New Roman" w:eastAsia="Times New Roman" w:hAnsi="Times New Roman"/>
          <w:sz w:val="15"/>
          <w:szCs w:val="15"/>
          <w:color w:val="auto"/>
        </w:rPr>
        <w:t xml:space="preserve">Section 11.4 </w:t>
      </w:r>
      <w:r>
        <w:rPr>
          <w:rFonts w:ascii="Times New Roman" w:cs="Times New Roman" w:eastAsia="Times New Roman" w:hAnsi="Times New Roman"/>
          <w:sz w:val="15"/>
          <w:szCs w:val="15"/>
          <w:u w:val="single" w:color="auto"/>
          <w:color w:val="auto"/>
        </w:rPr>
        <w:t>Notice of Redemption</w:t>
      </w:r>
    </w:p>
    <w:p>
      <w:pPr>
        <w:spacing w:after="0" w:line="194" w:lineRule="exact"/>
        <w:rPr>
          <w:sz w:val="20"/>
          <w:szCs w:val="20"/>
          <w:color w:val="auto"/>
        </w:rPr>
      </w:pPr>
    </w:p>
    <w:p>
      <w:pPr>
        <w:ind w:firstLine="549"/>
        <w:spacing w:after="0" w:line="266" w:lineRule="auto"/>
        <w:rPr>
          <w:sz w:val="20"/>
          <w:szCs w:val="20"/>
          <w:color w:val="auto"/>
        </w:rPr>
      </w:pPr>
      <w:r>
        <w:rPr>
          <w:rFonts w:ascii="Times New Roman" w:cs="Times New Roman" w:eastAsia="Times New Roman" w:hAnsi="Times New Roman"/>
          <w:sz w:val="15"/>
          <w:szCs w:val="15"/>
          <w:color w:val="auto"/>
        </w:rPr>
        <w:t>Notice of redemption shall be given in the manner provided in Section 1.6, not less than 30 nor more than 60 days prior to the Redemption Date, unless a shorter period is specified in the Securities to be redeemed, to the Holders of Securities to be redeemed. Failure to give notice by mailing in the manner herein provided to the Holder of any Registered Securities designated for redemption as a whole or in part, or any defect in the notice to any such Holder, shall not affect the validity of the proceedings for the redemption of any other Securities or portion thereof.</w:t>
      </w:r>
    </w:p>
    <w:p>
      <w:pPr>
        <w:spacing w:after="0" w:line="151" w:lineRule="exact"/>
        <w:rPr>
          <w:sz w:val="20"/>
          <w:szCs w:val="20"/>
          <w:color w:val="auto"/>
        </w:rPr>
      </w:pPr>
    </w:p>
    <w:p>
      <w:pPr>
        <w:ind w:right="220" w:firstLine="549"/>
        <w:spacing w:after="0" w:line="290" w:lineRule="auto"/>
        <w:rPr>
          <w:sz w:val="20"/>
          <w:szCs w:val="20"/>
          <w:color w:val="auto"/>
        </w:rPr>
      </w:pPr>
      <w:r>
        <w:rPr>
          <w:rFonts w:ascii="Times New Roman" w:cs="Times New Roman" w:eastAsia="Times New Roman" w:hAnsi="Times New Roman"/>
          <w:sz w:val="15"/>
          <w:szCs w:val="15"/>
          <w:color w:val="auto"/>
        </w:rPr>
        <w:t>Any notice that is mailed to the Holder of any Registered Securities in the manner herein provided shall be conclusively presumed to have been duly given, whether or not such Holder receives the notice.</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All notices of redemption shall state:</w:t>
      </w:r>
    </w:p>
    <w:p>
      <w:pPr>
        <w:spacing w:after="0" w:line="194" w:lineRule="exact"/>
        <w:rPr>
          <w:sz w:val="20"/>
          <w:szCs w:val="20"/>
          <w:color w:val="auto"/>
        </w:rPr>
      </w:pPr>
    </w:p>
    <w:p>
      <w:pPr>
        <w:ind w:left="760" w:hanging="219"/>
        <w:spacing w:after="0"/>
        <w:tabs>
          <w:tab w:leader="none" w:pos="76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Date;</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Redemption Price or if not then ascertainable, the manner of calculation thereof;</w:t>
      </w:r>
    </w:p>
    <w:p>
      <w:pPr>
        <w:spacing w:after="0" w:line="193" w:lineRule="exact"/>
        <w:rPr>
          <w:rFonts w:ascii="Times New Roman" w:cs="Times New Roman" w:eastAsia="Times New Roman" w:hAnsi="Times New Roman"/>
          <w:sz w:val="15"/>
          <w:szCs w:val="15"/>
          <w:color w:val="auto"/>
        </w:rPr>
      </w:pPr>
    </w:p>
    <w:p>
      <w:pPr>
        <w:ind w:right="280" w:firstLine="541"/>
        <w:spacing w:after="0" w:line="290" w:lineRule="auto"/>
        <w:tabs>
          <w:tab w:leader="none" w:pos="766"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less than all Outstanding Securities of any series are to be redeemed, the identification (and, in the case of partial redemption, the principal amount) of the particular Security or Securities to be redeemed;</w:t>
      </w:r>
    </w:p>
    <w:p>
      <w:pPr>
        <w:spacing w:after="0" w:line="132" w:lineRule="exact"/>
        <w:rPr>
          <w:rFonts w:ascii="Times New Roman" w:cs="Times New Roman" w:eastAsia="Times New Roman" w:hAnsi="Times New Roman"/>
          <w:sz w:val="15"/>
          <w:szCs w:val="15"/>
          <w:color w:val="auto"/>
        </w:rPr>
      </w:pPr>
    </w:p>
    <w:p>
      <w:pPr>
        <w:ind w:right="160" w:firstLine="541"/>
        <w:spacing w:after="0" w:line="290" w:lineRule="auto"/>
        <w:tabs>
          <w:tab w:leader="none" w:pos="766"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any Security is to be redeemed in part only, the notice which relates to such Security shall state that on and after the Redemption Date, upon surrender of such Security, the Holder of such Security will receive, without charge, a new Security or Securities of authorized denominations for the principal amount thereof remaining unredeemed;</w:t>
      </w:r>
    </w:p>
    <w:p>
      <w:pPr>
        <w:spacing w:after="0" w:line="132" w:lineRule="exact"/>
        <w:rPr>
          <w:rFonts w:ascii="Times New Roman" w:cs="Times New Roman" w:eastAsia="Times New Roman" w:hAnsi="Times New Roman"/>
          <w:sz w:val="15"/>
          <w:szCs w:val="15"/>
          <w:color w:val="auto"/>
        </w:rPr>
      </w:pPr>
    </w:p>
    <w:p>
      <w:pPr>
        <w:ind w:right="320" w:firstLine="541"/>
        <w:spacing w:after="0" w:line="290" w:lineRule="auto"/>
        <w:tabs>
          <w:tab w:leader="none" w:pos="766"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on the Redemption Date, the Redemption Price shall become due and payable upon each such Security or portion thereof to be redeemed, and, if applicable, that interest thereon shall cease to accrue on and after said date, subject to such conditions as may be specified pursuant to Section 3.1 with respect to such Security;</w:t>
      </w:r>
    </w:p>
    <w:p>
      <w:pPr>
        <w:spacing w:after="0" w:line="132"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 or places where such Securities are to be surrendered for payment of the Redemption Price and any accrued interest and Additional Amounts pertaining thereto;</w:t>
      </w:r>
    </w:p>
    <w:p>
      <w:pPr>
        <w:spacing w:after="0" w:line="193"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redemption is for a sinking fund, if such is the case;</w:t>
      </w:r>
    </w:p>
    <w:p>
      <w:pPr>
        <w:spacing w:after="0" w:line="193" w:lineRule="exact"/>
        <w:rPr>
          <w:rFonts w:ascii="Times New Roman" w:cs="Times New Roman" w:eastAsia="Times New Roman" w:hAnsi="Times New Roman"/>
          <w:sz w:val="15"/>
          <w:szCs w:val="15"/>
          <w:color w:val="auto"/>
        </w:rPr>
      </w:pPr>
    </w:p>
    <w:p>
      <w:pPr>
        <w:ind w:right="20" w:firstLine="541"/>
        <w:spacing w:after="0" w:line="272" w:lineRule="auto"/>
        <w:tabs>
          <w:tab w:leader="none" w:pos="766"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Securities of any series that are convertible or exchangeable into Common Stock or other securities, cash or other property, the conversion or exchange price or rate, the date or dates on which the right to convert or exchange the principal of the Securities of such series to be redeemed will commence or terminate and the place or places where such Securities may be surrendered for conversion or exchange; and</w:t>
      </w:r>
    </w:p>
    <w:p>
      <w:pPr>
        <w:spacing w:after="0" w:line="146" w:lineRule="exact"/>
        <w:rPr>
          <w:rFonts w:ascii="Times New Roman" w:cs="Times New Roman" w:eastAsia="Times New Roman" w:hAnsi="Times New Roman"/>
          <w:sz w:val="15"/>
          <w:szCs w:val="15"/>
          <w:color w:val="auto"/>
        </w:rPr>
      </w:pPr>
    </w:p>
    <w:p>
      <w:pPr>
        <w:ind w:left="760" w:hanging="219"/>
        <w:spacing w:after="0"/>
        <w:tabs>
          <w:tab w:leader="none" w:pos="760" w:val="left"/>
        </w:tabs>
        <w:numPr>
          <w:ilvl w:val="0"/>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CUSIP number (or any other numbers used by a Depositary to identify such Securities).</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180"/>
          </w:cols>
          <w:pgMar w:left="320" w:top="789" w:right="399" w:bottom="1440" w:gutter="0" w:footer="0" w:header="0"/>
        </w:sectPr>
      </w:pPr>
    </w:p>
    <w:bookmarkStart w:id="171" w:name="page172"/>
    <w:bookmarkEnd w:id="171"/>
    <w:p>
      <w:pPr>
        <w:ind w:left="540"/>
        <w:spacing w:after="0"/>
        <w:rPr>
          <w:sz w:val="20"/>
          <w:szCs w:val="20"/>
          <w:color w:val="auto"/>
        </w:rPr>
      </w:pPr>
      <w:r>
        <w:rPr>
          <w:rFonts w:ascii="Times New Roman" w:cs="Times New Roman" w:eastAsia="Times New Roman" w:hAnsi="Times New Roman"/>
          <w:sz w:val="15"/>
          <w:szCs w:val="15"/>
          <w:color w:val="auto"/>
        </w:rPr>
        <w:t>A notice of redemption published as contemplated by Section 1.6 need not identify particular Registered Securities to be redeemed.</w:t>
      </w:r>
    </w:p>
    <w:p>
      <w:pPr>
        <w:spacing w:after="0" w:line="194" w:lineRule="exact"/>
        <w:rPr>
          <w:sz w:val="20"/>
          <w:szCs w:val="20"/>
          <w:color w:val="auto"/>
        </w:rPr>
      </w:pPr>
    </w:p>
    <w:p>
      <w:pPr>
        <w:ind w:right="140" w:firstLine="549"/>
        <w:spacing w:after="0" w:line="290" w:lineRule="auto"/>
        <w:rPr>
          <w:sz w:val="20"/>
          <w:szCs w:val="20"/>
          <w:color w:val="auto"/>
        </w:rPr>
      </w:pPr>
      <w:r>
        <w:rPr>
          <w:rFonts w:ascii="Times New Roman" w:cs="Times New Roman" w:eastAsia="Times New Roman" w:hAnsi="Times New Roman"/>
          <w:sz w:val="15"/>
          <w:szCs w:val="15"/>
          <w:color w:val="auto"/>
        </w:rPr>
        <w:t>Notice of redemption of Securities to be redeemed at the election of the Company shall be given by the Company or, upon Company Request, by the Trustee in the name and at the expense of the Company.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11.5 </w:t>
      </w:r>
      <w:r>
        <w:rPr>
          <w:rFonts w:ascii="Times New Roman" w:cs="Times New Roman" w:eastAsia="Times New Roman" w:hAnsi="Times New Roman"/>
          <w:sz w:val="15"/>
          <w:szCs w:val="15"/>
          <w:u w:val="single" w:color="auto"/>
          <w:color w:val="auto"/>
        </w:rPr>
        <w:t>Deposit of Redemption Price</w:t>
      </w:r>
    </w:p>
    <w:p>
      <w:pPr>
        <w:spacing w:after="0" w:line="194" w:lineRule="exact"/>
        <w:rPr>
          <w:sz w:val="20"/>
          <w:szCs w:val="20"/>
          <w:color w:val="auto"/>
        </w:rPr>
      </w:pPr>
    </w:p>
    <w:p>
      <w:pPr>
        <w:ind w:right="60" w:firstLine="549"/>
        <w:spacing w:after="0" w:line="263" w:lineRule="auto"/>
        <w:rPr>
          <w:sz w:val="20"/>
          <w:szCs w:val="20"/>
          <w:color w:val="auto"/>
        </w:rPr>
      </w:pPr>
      <w:r>
        <w:rPr>
          <w:rFonts w:ascii="Times New Roman" w:cs="Times New Roman" w:eastAsia="Times New Roman" w:hAnsi="Times New Roman"/>
          <w:sz w:val="15"/>
          <w:szCs w:val="15"/>
          <w:color w:val="auto"/>
        </w:rPr>
        <w:t>At or prior to 10:00 a.m., New York City time, on any Redemption Date, the Company shall deposit, with respect to the Securities of any series called for redemption pursuant to Section 11.4, with the Trustee or with a Paying Agent (or, if the Company is acting as its own Paying Agent, segregate and hold in trust as provided in Section 10.3) an amount of money in the applicable Currency sufficient to pay the Redemption Price of, and (except if the Redemption Date shall be an Interest Payment Date, unless otherwise specified pursuant to Section 3.1 or in the Securities of such series) any accrued interest on and Additional Amounts with respect to such accrued interest, all such Securities or portions thereof which are to be redeemed on that date.</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11.6 </w:t>
      </w:r>
      <w:r>
        <w:rPr>
          <w:rFonts w:ascii="Times New Roman" w:cs="Times New Roman" w:eastAsia="Times New Roman" w:hAnsi="Times New Roman"/>
          <w:sz w:val="15"/>
          <w:szCs w:val="15"/>
          <w:u w:val="single" w:color="auto"/>
          <w:color w:val="auto"/>
        </w:rPr>
        <w:t>Securities Payable on Redemption Date</w:t>
      </w:r>
    </w:p>
    <w:p>
      <w:pPr>
        <w:spacing w:after="0" w:line="194"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Notice of redemption having been given as aforesaid and all conditions specified pursuant to Section 3.1 having been satisfied,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any accrued interest and Additional Amounts to the Redemption Date; provided, however, that, except as otherwise specified in or pursuant to this Indenture or the Registered Securities of such series, installments of interest on Registered Securities whose Stated Maturity is on or prior to the Redemption Date shall be payable to the Holders of such Securities, or one or more Predecessor Securities, registered as such at the close of business on the Regular Record Dates therefor according to their terms and the provisions of Section 3.7.</w:t>
      </w:r>
    </w:p>
    <w:p>
      <w:pPr>
        <w:spacing w:after="0" w:line="157" w:lineRule="exact"/>
        <w:rPr>
          <w:sz w:val="20"/>
          <w:szCs w:val="20"/>
          <w:color w:val="auto"/>
        </w:rPr>
      </w:pPr>
    </w:p>
    <w:p>
      <w:pPr>
        <w:ind w:right="140" w:firstLine="549"/>
        <w:spacing w:after="0" w:line="290" w:lineRule="auto"/>
        <w:rPr>
          <w:sz w:val="20"/>
          <w:szCs w:val="20"/>
          <w:color w:val="auto"/>
        </w:rPr>
      </w:pPr>
      <w:r>
        <w:rPr>
          <w:rFonts w:ascii="Times New Roman" w:cs="Times New Roman" w:eastAsia="Times New Roman" w:hAnsi="Times New Roman"/>
          <w:sz w:val="15"/>
          <w:szCs w:val="15"/>
          <w:color w:val="auto"/>
        </w:rPr>
        <w:t>Unless otherwise specified in or pursuant to this Indenture or the Securities of any series, if any Security called for redemption shall not be so paid upon surrender thereof for redemption, the principal and any premium, until paid, shall bear interest from the Redemption Date at the rate prescribed therefor in the Security.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11.7 </w:t>
      </w:r>
      <w:r>
        <w:rPr>
          <w:rFonts w:ascii="Times New Roman" w:cs="Times New Roman" w:eastAsia="Times New Roman" w:hAnsi="Times New Roman"/>
          <w:sz w:val="15"/>
          <w:szCs w:val="15"/>
          <w:u w:val="single" w:color="auto"/>
          <w:color w:val="auto"/>
        </w:rPr>
        <w:t>Securities Redeemed in Part</w:t>
      </w:r>
    </w:p>
    <w:p>
      <w:pPr>
        <w:spacing w:after="0" w:line="194" w:lineRule="exact"/>
        <w:rPr>
          <w:sz w:val="20"/>
          <w:szCs w:val="20"/>
          <w:color w:val="auto"/>
        </w:rPr>
      </w:pPr>
    </w:p>
    <w:p>
      <w:pPr>
        <w:ind w:right="100" w:firstLine="549"/>
        <w:spacing w:after="0" w:line="260" w:lineRule="auto"/>
        <w:rPr>
          <w:sz w:val="20"/>
          <w:szCs w:val="20"/>
          <w:color w:val="auto"/>
        </w:rPr>
      </w:pPr>
      <w:r>
        <w:rPr>
          <w:rFonts w:ascii="Times New Roman" w:cs="Times New Roman" w:eastAsia="Times New Roman" w:hAnsi="Times New Roman"/>
          <w:sz w:val="15"/>
          <w:szCs w:val="15"/>
          <w:color w:val="auto"/>
        </w:rPr>
        <w:t>Any Registered Security which is to be redeemed only in part shall be surrendered at any Office or Agency for such Security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Registered Security or Securities of the same series, containing identical terms and provisions, of any authorized denomination as requested by such Holder in aggregate principal amount equal to and in exchange for the unredeemed portion of the principal amount of the Security so surrendered. If a Global Security is so surrendered, the Company shall execute, and the Trustee shall authenticate and deliver to or on behalf of the U.S. Depositary or other Depositary for such Global Security as shall be specified in the Company Order with respect thereto to the Trustee, without service charge, a new Global Security in a denomination equal to and in exchange for the unredeemed portion of the principal of the Global Security so surrendered.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72" w:name="page173"/>
    <w:bookmarkEnd w:id="172"/>
    <w:p>
      <w:pPr>
        <w:ind w:left="548"/>
        <w:spacing w:after="0"/>
        <w:rPr>
          <w:sz w:val="20"/>
          <w:szCs w:val="20"/>
          <w:color w:val="auto"/>
        </w:rPr>
      </w:pPr>
      <w:r>
        <w:rPr>
          <w:rFonts w:ascii="Times New Roman" w:cs="Times New Roman" w:eastAsia="Times New Roman" w:hAnsi="Times New Roman"/>
          <w:sz w:val="15"/>
          <w:szCs w:val="15"/>
          <w:color w:val="auto"/>
        </w:rPr>
        <w:t xml:space="preserve">Section 11.8 </w:t>
      </w:r>
      <w:r>
        <w:rPr>
          <w:rFonts w:ascii="Times New Roman" w:cs="Times New Roman" w:eastAsia="Times New Roman" w:hAnsi="Times New Roman"/>
          <w:sz w:val="15"/>
          <w:szCs w:val="15"/>
          <w:u w:val="single" w:color="auto"/>
          <w:color w:val="auto"/>
        </w:rPr>
        <w:t>Repurchases on the Open Market</w:t>
      </w:r>
    </w:p>
    <w:p>
      <w:pPr>
        <w:spacing w:after="0" w:line="194" w:lineRule="exact"/>
        <w:rPr>
          <w:sz w:val="20"/>
          <w:szCs w:val="20"/>
          <w:color w:val="auto"/>
        </w:rPr>
      </w:pPr>
    </w:p>
    <w:p>
      <w:pPr>
        <w:ind w:left="8" w:right="80" w:firstLine="549"/>
        <w:spacing w:after="0" w:line="290" w:lineRule="auto"/>
        <w:rPr>
          <w:sz w:val="20"/>
          <w:szCs w:val="20"/>
          <w:color w:val="auto"/>
        </w:rPr>
      </w:pPr>
      <w:r>
        <w:rPr>
          <w:rFonts w:ascii="Times New Roman" w:cs="Times New Roman" w:eastAsia="Times New Roman" w:hAnsi="Times New Roman"/>
          <w:sz w:val="15"/>
          <w:szCs w:val="15"/>
          <w:color w:val="auto"/>
        </w:rPr>
        <w:t>The Company or any Affiliate of the Company may at any time or from time to time repurchase any of the Securities in the open market or otherwise. Such Securities may, at the option of the Company or the relevant Affiliate of the Company, be held, resold or surrendered to the Trustee for cancellation.</w:t>
      </w:r>
    </w:p>
    <w:p>
      <w:pPr>
        <w:spacing w:after="0" w:line="1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ARTICLE 12</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SINKING FUNDS</w:t>
      </w:r>
    </w:p>
    <w:p>
      <w:pPr>
        <w:spacing w:after="0" w:line="198"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 xml:space="preserve">Section 12.1 </w:t>
      </w:r>
      <w:r>
        <w:rPr>
          <w:rFonts w:ascii="Times New Roman" w:cs="Times New Roman" w:eastAsia="Times New Roman" w:hAnsi="Times New Roman"/>
          <w:sz w:val="15"/>
          <w:szCs w:val="15"/>
          <w:u w:val="single" w:color="auto"/>
          <w:color w:val="auto"/>
        </w:rPr>
        <w:t>Applicability of Article</w:t>
      </w:r>
    </w:p>
    <w:p>
      <w:pPr>
        <w:spacing w:after="0" w:line="194" w:lineRule="exact"/>
        <w:rPr>
          <w:sz w:val="20"/>
          <w:szCs w:val="20"/>
          <w:color w:val="auto"/>
        </w:rPr>
      </w:pPr>
    </w:p>
    <w:p>
      <w:pPr>
        <w:ind w:left="8" w:right="100" w:firstLine="549"/>
        <w:spacing w:after="0" w:line="290" w:lineRule="auto"/>
        <w:rPr>
          <w:sz w:val="20"/>
          <w:szCs w:val="20"/>
          <w:color w:val="auto"/>
        </w:rPr>
      </w:pPr>
      <w:r>
        <w:rPr>
          <w:rFonts w:ascii="Times New Roman" w:cs="Times New Roman" w:eastAsia="Times New Roman" w:hAnsi="Times New Roman"/>
          <w:sz w:val="15"/>
          <w:szCs w:val="15"/>
          <w:color w:val="auto"/>
        </w:rPr>
        <w:t>The provisions of this Article 12 shall be applicable to any sinking fund for the retirement of Securities of a series, except as otherwise permitted or required in or pursuant to this Indenture or any Security of such series issued pursuant to this Indenture.</w:t>
      </w:r>
    </w:p>
    <w:p>
      <w:pPr>
        <w:spacing w:after="0" w:line="133" w:lineRule="exact"/>
        <w:rPr>
          <w:sz w:val="20"/>
          <w:szCs w:val="20"/>
          <w:color w:val="auto"/>
        </w:rPr>
      </w:pPr>
    </w:p>
    <w:p>
      <w:pPr>
        <w:ind w:left="8" w:right="80" w:firstLine="549"/>
        <w:spacing w:after="0" w:line="266" w:lineRule="auto"/>
        <w:rPr>
          <w:sz w:val="20"/>
          <w:szCs w:val="20"/>
          <w:color w:val="auto"/>
        </w:rPr>
      </w:pPr>
      <w:r>
        <w:rPr>
          <w:rFonts w:ascii="Times New Roman" w:cs="Times New Roman" w:eastAsia="Times New Roman" w:hAnsi="Times New Roman"/>
          <w:sz w:val="15"/>
          <w:szCs w:val="15"/>
          <w:color w:val="auto"/>
        </w:rPr>
        <w:t>The minimum amount of any sinking fund payment provided for by the terms of Securities of any series is herein referred to as a “mandatory sinking fund payment,” and any payment in excess of such minimum amount provided for by the terms of Securities of such series is herein referred to as an “optional sinking fund payment.” If provided for by the terms of Securities of any series, the cash amount of any sinking fund payment may be subject to reduction as provided in Section 12.2. Each sinking fund payment shall be applied to the redemption of Securities of any series as provided for by the terms of Securities of such series and this Indenture.</w:t>
      </w:r>
    </w:p>
    <w:p>
      <w:pPr>
        <w:spacing w:after="0" w:line="151"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 xml:space="preserve">Section 12.2 </w:t>
      </w:r>
      <w:r>
        <w:rPr>
          <w:rFonts w:ascii="Times New Roman" w:cs="Times New Roman" w:eastAsia="Times New Roman" w:hAnsi="Times New Roman"/>
          <w:sz w:val="15"/>
          <w:szCs w:val="15"/>
          <w:u w:val="single" w:color="auto"/>
          <w:color w:val="auto"/>
        </w:rPr>
        <w:t>Satisfaction of Sinking Fund Payments with Securities</w:t>
      </w:r>
    </w:p>
    <w:p>
      <w:pPr>
        <w:spacing w:after="0" w:line="194" w:lineRule="exact"/>
        <w:rPr>
          <w:sz w:val="20"/>
          <w:szCs w:val="20"/>
          <w:color w:val="auto"/>
        </w:rPr>
      </w:pPr>
    </w:p>
    <w:p>
      <w:pPr>
        <w:ind w:left="548"/>
        <w:spacing w:after="0"/>
        <w:rPr>
          <w:sz w:val="20"/>
          <w:szCs w:val="20"/>
          <w:color w:val="auto"/>
        </w:rPr>
      </w:pPr>
      <w:r>
        <w:rPr>
          <w:rFonts w:ascii="Times New Roman" w:cs="Times New Roman" w:eastAsia="Times New Roman" w:hAnsi="Times New Roman"/>
          <w:sz w:val="15"/>
          <w:szCs w:val="15"/>
          <w:color w:val="auto"/>
        </w:rPr>
        <w:t>The Company may, in satisfaction of all or any part of any sinking fund payment with respect to the Securities of any series to be made pursuant to the terms of such Securities</w:t>
      </w:r>
    </w:p>
    <w:p>
      <w:pPr>
        <w:spacing w:after="0" w:line="25" w:lineRule="exact"/>
        <w:rPr>
          <w:sz w:val="20"/>
          <w:szCs w:val="20"/>
          <w:color w:val="auto"/>
        </w:rPr>
      </w:pPr>
    </w:p>
    <w:p>
      <w:pPr>
        <w:ind w:left="8" w:right="80" w:hanging="8"/>
        <w:spacing w:after="0" w:line="256" w:lineRule="auto"/>
        <w:tabs>
          <w:tab w:leader="none" w:pos="224"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 Outstanding Securities of such series (other than any of such Securities previously called for redemption or any of such Securities in respect of which cash shall have been released to the Company) and (2) apply as a credit Securities of such series which have been redeemed either at the election of the Company pursuant to the terms of such series of Securities or through the application of permitted optional sinking fund payments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If as a result of the delivery or credit of Securities of any series in lieu of cash payments pursuant to this Section 12.2, the principal amount of Securities of such series to be redeemed in order to satisfy the remaining sinking fund payment shall be less than $100,000, the Trustee need not call Securities of such series for redemption, except upon Company Request, and such cash payment shall be held by the Trustee or a Paying Agent and applied to the next succeeding sinking fund payment, provided, however, that the Trustee or such Paying Agent shall at the request of the Company from time to time pay over and deliver to the Company any cash payment so being held by the Trustee or such Paying Agent upon delivery by the Company to the Trustee of Securities of that series purchased by the Company having an unpaid principal amount equal to the cash payment requested to be released to the Company.</w:t>
      </w:r>
    </w:p>
    <w:p>
      <w:pPr>
        <w:spacing w:after="0" w:line="3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153275" cy="14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8"/>
          </w:cols>
          <w:pgMar w:left="312" w:top="789" w:right="339" w:bottom="1440" w:gutter="0" w:footer="0" w:header="0"/>
        </w:sectPr>
      </w:pPr>
    </w:p>
    <w:bookmarkStart w:id="173" w:name="page174"/>
    <w:bookmarkEnd w:id="173"/>
    <w:p>
      <w:pPr>
        <w:ind w:left="540"/>
        <w:spacing w:after="0"/>
        <w:rPr>
          <w:sz w:val="20"/>
          <w:szCs w:val="20"/>
          <w:color w:val="auto"/>
        </w:rPr>
      </w:pPr>
      <w:r>
        <w:rPr>
          <w:rFonts w:ascii="Times New Roman" w:cs="Times New Roman" w:eastAsia="Times New Roman" w:hAnsi="Times New Roman"/>
          <w:sz w:val="15"/>
          <w:szCs w:val="15"/>
          <w:color w:val="auto"/>
        </w:rPr>
        <w:t xml:space="preserve">Section 12.3 </w:t>
      </w:r>
      <w:r>
        <w:rPr>
          <w:rFonts w:ascii="Times New Roman" w:cs="Times New Roman" w:eastAsia="Times New Roman" w:hAnsi="Times New Roman"/>
          <w:sz w:val="15"/>
          <w:szCs w:val="15"/>
          <w:u w:val="single" w:color="auto"/>
          <w:color w:val="auto"/>
        </w:rPr>
        <w:t>Redemption of Securities for Sinking Fund</w:t>
      </w:r>
    </w:p>
    <w:p>
      <w:pPr>
        <w:spacing w:after="0" w:line="194" w:lineRule="exact"/>
        <w:rPr>
          <w:sz w:val="20"/>
          <w:szCs w:val="20"/>
          <w:color w:val="auto"/>
        </w:rPr>
      </w:pPr>
    </w:p>
    <w:p>
      <w:pPr>
        <w:ind w:firstLine="549"/>
        <w:spacing w:after="0" w:line="258" w:lineRule="auto"/>
        <w:rPr>
          <w:sz w:val="20"/>
          <w:szCs w:val="20"/>
          <w:color w:val="auto"/>
        </w:rPr>
      </w:pPr>
      <w:r>
        <w:rPr>
          <w:rFonts w:ascii="Times New Roman" w:cs="Times New Roman" w:eastAsia="Times New Roman" w:hAnsi="Times New Roman"/>
          <w:sz w:val="15"/>
          <w:szCs w:val="15"/>
          <w:color w:val="auto"/>
        </w:rPr>
        <w:t>Not less than 60 days (unless otherwise indicated in the Board Resolution, Officer’s Certificate or supplemental indenture in respect of a particular series of Securities) prior to each sinking fund payment date for any series of Securities, the Company shall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12.2, and the basis for such credit and the optional amount, if any, to be added in cash to the next ensuing mandatory sinking fund payment, and will also deliver to the Trustee any Securities to be so credited and not theretofore delivered. If such Officer’s Certificate shall specify an optional amount to be added in cash to the next ensuing mandatory sinking fund payment,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 11.6 and Section 11.7.</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ARTICLE 13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REPAYMENT AT THE OPTION OF HOLDERS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13.1 </w:t>
      </w:r>
      <w:r>
        <w:rPr>
          <w:rFonts w:ascii="Times New Roman" w:cs="Times New Roman" w:eastAsia="Times New Roman" w:hAnsi="Times New Roman"/>
          <w:sz w:val="15"/>
          <w:szCs w:val="15"/>
          <w:u w:val="single" w:color="auto"/>
          <w:color w:val="auto"/>
        </w:rPr>
        <w:t>Applicability of Article</w:t>
      </w:r>
    </w:p>
    <w:p>
      <w:pPr>
        <w:spacing w:after="0" w:line="194" w:lineRule="exact"/>
        <w:rPr>
          <w:sz w:val="20"/>
          <w:szCs w:val="20"/>
          <w:color w:val="auto"/>
        </w:rPr>
      </w:pPr>
    </w:p>
    <w:p>
      <w:pPr>
        <w:ind w:firstLine="549"/>
        <w:spacing w:after="0" w:line="260" w:lineRule="auto"/>
        <w:rPr>
          <w:sz w:val="20"/>
          <w:szCs w:val="20"/>
          <w:color w:val="auto"/>
        </w:rPr>
      </w:pPr>
      <w:r>
        <w:rPr>
          <w:rFonts w:ascii="Times New Roman" w:cs="Times New Roman" w:eastAsia="Times New Roman" w:hAnsi="Times New Roman"/>
          <w:sz w:val="15"/>
          <w:szCs w:val="15"/>
          <w:color w:val="auto"/>
        </w:rPr>
        <w:t>Securities of any series which are repayable at the option of the Holders thereof before their Stated Maturity shall be repaid in accordance with the terms of the Securities of such series. The repayment of any principal amount of Securities pursuant to such option of the Holder to require repayment of Securities before their Stated Maturity, for purposes of Section 3.9, shall not operate as a payment, redemption or satisfaction of the indebtedness represented by such Securities unless and until the Company, at its option, shall deliver or surrender the same to the Trustee with a directive that such Securities be cancelled. Notwithstanding anything to the contrary contained in this Section 13.1, in connection with any repayment of Securities, the Company may arrange for the purchase of any Securities by an agreement with one or more investment bankers or other purchasers to purchase such Securities by paying to the Holders of such Securities on or before the close of business on the repayment date an amount not less than the repayment price payable by the Company on repayment of such Securities, and the obligation of the Company to pay the repayment price of such Securities shall be satisfied and discharged to the extent such payment is so paid by such purchasers.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74" w:name="page175"/>
    <w:bookmarkEnd w:id="174"/>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ARTICLE 14</w:t>
      </w:r>
    </w:p>
    <w:p>
      <w:pPr>
        <w:spacing w:after="0" w:line="1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SECURITIES IN FOREIGN CURRENCIES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14.1 </w:t>
      </w:r>
      <w:r>
        <w:rPr>
          <w:rFonts w:ascii="Times New Roman" w:cs="Times New Roman" w:eastAsia="Times New Roman" w:hAnsi="Times New Roman"/>
          <w:sz w:val="15"/>
          <w:szCs w:val="15"/>
          <w:u w:val="single" w:color="auto"/>
          <w:color w:val="auto"/>
        </w:rPr>
        <w:t>Applicability of Article</w:t>
      </w:r>
    </w:p>
    <w:p>
      <w:pPr>
        <w:spacing w:after="0" w:line="194" w:lineRule="exact"/>
        <w:rPr>
          <w:sz w:val="20"/>
          <w:szCs w:val="20"/>
          <w:color w:val="auto"/>
        </w:rPr>
      </w:pPr>
    </w:p>
    <w:p>
      <w:pPr>
        <w:ind w:right="120" w:firstLine="549"/>
        <w:spacing w:after="0" w:line="261" w:lineRule="auto"/>
        <w:rPr>
          <w:sz w:val="20"/>
          <w:szCs w:val="20"/>
          <w:color w:val="auto"/>
        </w:rPr>
      </w:pPr>
      <w:r>
        <w:rPr>
          <w:rFonts w:ascii="Times New Roman" w:cs="Times New Roman" w:eastAsia="Times New Roman" w:hAnsi="Times New Roman"/>
          <w:sz w:val="15"/>
          <w:szCs w:val="15"/>
          <w:color w:val="auto"/>
        </w:rPr>
        <w:t>Whenever this Indenture provides for (i) any action by, or the determination of any of the rights of, Holders of Securities of any series in which not all of such Securities are denominated in the same Currency, or (ii) any distribution to Holders of Securities, in the absence of any provision to the contrary pursuant to this Indenture or the Securities of any particular series, any amount in respect of any Security denominated in a Foreign Currency shall be treated for any such action or distribution as that amount of Dollars that could be obtained for such amount on such reasonable basis of exchange and as of the record date with respect to Registered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Trustee may determine.</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b w:val="1"/>
          <w:bCs w:val="1"/>
          <w:color w:val="auto"/>
        </w:rPr>
        <w:t>ARTICLE 15</w:t>
      </w:r>
    </w:p>
    <w:p>
      <w:pPr>
        <w:spacing w:after="0" w:line="19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5"/>
          <w:szCs w:val="15"/>
          <w:b w:val="1"/>
          <w:bCs w:val="1"/>
          <w:color w:val="auto"/>
        </w:rPr>
        <w:t>MEETINGS OF HOLDERS OF SECURITIES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15.1 </w:t>
      </w:r>
      <w:r>
        <w:rPr>
          <w:rFonts w:ascii="Times New Roman" w:cs="Times New Roman" w:eastAsia="Times New Roman" w:hAnsi="Times New Roman"/>
          <w:sz w:val="15"/>
          <w:szCs w:val="15"/>
          <w:u w:val="single" w:color="auto"/>
          <w:color w:val="auto"/>
        </w:rPr>
        <w:t>Purposes for Which Meetings May Be Called</w:t>
      </w:r>
    </w:p>
    <w:p>
      <w:pPr>
        <w:spacing w:after="0" w:line="194" w:lineRule="exact"/>
        <w:rPr>
          <w:sz w:val="20"/>
          <w:szCs w:val="20"/>
          <w:color w:val="auto"/>
        </w:rPr>
      </w:pPr>
    </w:p>
    <w:p>
      <w:pPr>
        <w:ind w:right="440" w:firstLine="549"/>
        <w:spacing w:after="0" w:line="290" w:lineRule="auto"/>
        <w:rPr>
          <w:sz w:val="20"/>
          <w:szCs w:val="20"/>
          <w:color w:val="auto"/>
        </w:rPr>
      </w:pPr>
      <w:r>
        <w:rPr>
          <w:rFonts w:ascii="Times New Roman" w:cs="Times New Roman" w:eastAsia="Times New Roman" w:hAnsi="Times New Roman"/>
          <w:sz w:val="15"/>
          <w:szCs w:val="15"/>
          <w:color w:val="auto"/>
        </w:rPr>
        <w:t>A meeting of Holders of Securities of any series may be called at any time and from time to time pursuant to this Article 15 to make, give or take any request, demand, authorization, direction, notice, consent, waiver or other Act provided by this Indenture to be made, given or taken by Holders of Securities of such series.</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15.2 </w:t>
      </w:r>
      <w:r>
        <w:rPr>
          <w:rFonts w:ascii="Times New Roman" w:cs="Times New Roman" w:eastAsia="Times New Roman" w:hAnsi="Times New Roman"/>
          <w:sz w:val="15"/>
          <w:szCs w:val="15"/>
          <w:u w:val="single" w:color="auto"/>
          <w:color w:val="auto"/>
        </w:rPr>
        <w:t>Call, Notice and Place of Meetings</w:t>
      </w:r>
    </w:p>
    <w:p>
      <w:pPr>
        <w:spacing w:after="0" w:line="194" w:lineRule="exact"/>
        <w:rPr>
          <w:sz w:val="20"/>
          <w:szCs w:val="20"/>
          <w:color w:val="auto"/>
        </w:rPr>
      </w:pPr>
    </w:p>
    <w:p>
      <w:pPr>
        <w:ind w:firstLine="541"/>
        <w:spacing w:after="0" w:line="266" w:lineRule="auto"/>
        <w:tabs>
          <w:tab w:leader="none" w:pos="766"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may at any time call a meeting of Holders of Securities of any series for any purpose specified in Section 15.1, to be held at such time and at such place in the Borough of Manhattan, The City of New York as the Trustee may select and as shall be acceptable to the Company. Notice of every meeting of Holders of Securities of any series, setting forth the time and the place of such meeting and in general terms the action proposed to be taken at such meeting, shall be given, in the manner provided in Section 1.6, not less than 21 nor more than 180 days prior to the date fixed for the meeting.</w:t>
      </w: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180"/>
          </w:cols>
          <w:pgMar w:left="320" w:top="785" w:right="399" w:bottom="1440" w:gutter="0" w:footer="0" w:header="0"/>
        </w:sectPr>
      </w:pPr>
    </w:p>
    <w:bookmarkStart w:id="175" w:name="page176"/>
    <w:bookmarkEnd w:id="175"/>
    <w:p>
      <w:pPr>
        <w:ind w:firstLine="541"/>
        <w:spacing w:after="0" w:line="261" w:lineRule="auto"/>
        <w:tabs>
          <w:tab w:leader="none" w:pos="766"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at any time the Company (by or pursuant to a Board Resolution) or the Holders of at least 25% in principal amount of the Outstanding Securities of any series shall have requested the Trustee to call a meeting of the Holders of Securities of such series for any purpose specified in Section 15.1, by written request setting forth in reasonable detail the action proposed to be taken at the meeting, and the Trustee shall not have mailed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clause (1) of this Section 15.4.</w:t>
      </w:r>
    </w:p>
    <w:p>
      <w:pPr>
        <w:spacing w:after="0" w:line="15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15.3 </w:t>
      </w:r>
      <w:r>
        <w:rPr>
          <w:rFonts w:ascii="Times New Roman" w:cs="Times New Roman" w:eastAsia="Times New Roman" w:hAnsi="Times New Roman"/>
          <w:sz w:val="15"/>
          <w:szCs w:val="15"/>
          <w:u w:val="single" w:color="auto"/>
          <w:color w:val="auto"/>
        </w:rPr>
        <w:t>Persons Entitled to Vote at Meetings</w:t>
      </w:r>
    </w:p>
    <w:p>
      <w:pPr>
        <w:spacing w:after="0" w:line="194" w:lineRule="exact"/>
        <w:rPr>
          <w:sz w:val="20"/>
          <w:szCs w:val="20"/>
          <w:color w:val="auto"/>
        </w:rPr>
      </w:pPr>
    </w:p>
    <w:p>
      <w:pPr>
        <w:jc w:val="both"/>
        <w:ind w:right="60" w:firstLine="549"/>
        <w:spacing w:after="0" w:line="266" w:lineRule="auto"/>
        <w:rPr>
          <w:sz w:val="20"/>
          <w:szCs w:val="20"/>
          <w:color w:val="auto"/>
        </w:rPr>
      </w:pPr>
      <w:r>
        <w:rPr>
          <w:rFonts w:ascii="Times New Roman" w:cs="Times New Roman" w:eastAsia="Times New Roman" w:hAnsi="Times New Roman"/>
          <w:sz w:val="15"/>
          <w:szCs w:val="15"/>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15.4 </w:t>
      </w:r>
      <w:r>
        <w:rPr>
          <w:rFonts w:ascii="Times New Roman" w:cs="Times New Roman" w:eastAsia="Times New Roman" w:hAnsi="Times New Roman"/>
          <w:sz w:val="15"/>
          <w:szCs w:val="15"/>
          <w:u w:val="single" w:color="auto"/>
          <w:color w:val="auto"/>
        </w:rPr>
        <w:t>Quorum; Action</w:t>
      </w:r>
    </w:p>
    <w:p>
      <w:pPr>
        <w:spacing w:after="0" w:line="194" w:lineRule="exact"/>
        <w:rPr>
          <w:sz w:val="20"/>
          <w:szCs w:val="20"/>
          <w:color w:val="auto"/>
        </w:rPr>
      </w:pPr>
    </w:p>
    <w:p>
      <w:pPr>
        <w:ind w:right="20" w:firstLine="549"/>
        <w:spacing w:after="0" w:line="259" w:lineRule="auto"/>
        <w:rPr>
          <w:sz w:val="20"/>
          <w:szCs w:val="20"/>
          <w:color w:val="auto"/>
        </w:rPr>
      </w:pPr>
      <w:r>
        <w:rPr>
          <w:rFonts w:ascii="Times New Roman" w:cs="Times New Roman" w:eastAsia="Times New Roman" w:hAnsi="Times New Roman"/>
          <w:sz w:val="15"/>
          <w:szCs w:val="15"/>
          <w:color w:val="auto"/>
        </w:rPr>
        <w:t>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a different percentage in principal amount of the Outstanding Securities of a series, the Persons entitled to vote such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15.2(1),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Securities of such series which shall constitute a quorum.</w:t>
      </w:r>
    </w:p>
    <w:p>
      <w:pPr>
        <w:spacing w:after="0" w:line="156" w:lineRule="exact"/>
        <w:rPr>
          <w:sz w:val="20"/>
          <w:szCs w:val="20"/>
          <w:color w:val="auto"/>
        </w:rPr>
      </w:pPr>
    </w:p>
    <w:p>
      <w:pPr>
        <w:ind w:right="60" w:firstLine="549"/>
        <w:spacing w:after="0" w:line="259" w:lineRule="auto"/>
        <w:rPr>
          <w:sz w:val="20"/>
          <w:szCs w:val="20"/>
          <w:color w:val="auto"/>
        </w:rPr>
      </w:pPr>
      <w:r>
        <w:rPr>
          <w:rFonts w:ascii="Times New Roman" w:cs="Times New Roman" w:eastAsia="Times New Roman" w:hAnsi="Times New Roman"/>
          <w:sz w:val="15"/>
          <w:szCs w:val="15"/>
          <w:color w:val="auto"/>
        </w:rPr>
        <w:t>Except as limited by the proviso to Section 9.2, any resolution presented to a meeting or adjourned meeting duly reconvened at which a quorum is present as aforesaid may be adopted only by the affirmative vote of the Holders of a majority in principal amount of the Outstanding Securities of that series; provided, however, that, except as limited by the proviso to Section 9.2, any resolution with respect to any consent or waiver which this Indenture or any supplemental indenture expressly provides may be given by the Holders of at least 66-2/3% in principal amount of the Outstanding Securities of a series may be adopted at a meeting or an adjourned meeting duly convened and at which a quorum is present as aforesaid only by the affirmative vote of the Holders of 66-2/3% in principal amount of the Outstanding Securities of that series; and provided, further, that, except as limited by the proviso to Section 9.2, any resolution with respect to any request, demand, authorization, direction, notice, consent, waiver or other Act which this Indenture or any supplemental indenture expressly provides may be made, given or taken by the Holders of a different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such series.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76" w:name="page177"/>
    <w:bookmarkEnd w:id="176"/>
    <w:p>
      <w:pPr>
        <w:ind w:right="20" w:firstLine="549"/>
        <w:spacing w:after="0" w:line="290" w:lineRule="auto"/>
        <w:rPr>
          <w:sz w:val="20"/>
          <w:szCs w:val="20"/>
          <w:color w:val="auto"/>
        </w:rPr>
      </w:pPr>
      <w:r>
        <w:rPr>
          <w:rFonts w:ascii="Times New Roman" w:cs="Times New Roman" w:eastAsia="Times New Roman" w:hAnsi="Times New Roman"/>
          <w:sz w:val="15"/>
          <w:szCs w:val="15"/>
          <w:color w:val="auto"/>
        </w:rPr>
        <w:t>Any resolution passed or decision taken at any meeting of Holders of Securities of any series duly held in accordance with this Section 15.4 shall be binding on all the Holders of Securities of such series, whether or not such Holders were present or represented at the meeting.</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15.5 </w:t>
      </w:r>
      <w:r>
        <w:rPr>
          <w:rFonts w:ascii="Times New Roman" w:cs="Times New Roman" w:eastAsia="Times New Roman" w:hAnsi="Times New Roman"/>
          <w:sz w:val="15"/>
          <w:szCs w:val="15"/>
          <w:u w:val="single" w:color="auto"/>
          <w:color w:val="auto"/>
        </w:rPr>
        <w:t>Determination of Voting Rights; Conduct and Adjournment of Meetings</w:t>
      </w:r>
    </w:p>
    <w:p>
      <w:pPr>
        <w:spacing w:after="0" w:line="194" w:lineRule="exact"/>
        <w:rPr>
          <w:sz w:val="20"/>
          <w:szCs w:val="20"/>
          <w:color w:val="auto"/>
        </w:rPr>
      </w:pPr>
    </w:p>
    <w:p>
      <w:pPr>
        <w:ind w:right="100" w:firstLine="541"/>
        <w:spacing w:after="0" w:line="261" w:lineRule="auto"/>
        <w:tabs>
          <w:tab w:leader="none" w:pos="766"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 other provisions of this Indenture, the Trustee may make such reasonable regulations as it may deem advisable for any meeting of Holders of Securities of such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1.4 and the appointment of any proxy shall be proved in the manner specified in Section 1.4. Such regulations may provide that written instruments appointing proxies, regular on their face, may be presumed valid and genuine without the proof specified in Section 1.4 or other proof.</w:t>
      </w:r>
    </w:p>
    <w:p>
      <w:pPr>
        <w:spacing w:after="0" w:line="156" w:lineRule="exact"/>
        <w:rPr>
          <w:rFonts w:ascii="Times New Roman" w:cs="Times New Roman" w:eastAsia="Times New Roman" w:hAnsi="Times New Roman"/>
          <w:sz w:val="15"/>
          <w:szCs w:val="15"/>
          <w:color w:val="auto"/>
        </w:rPr>
      </w:pPr>
    </w:p>
    <w:p>
      <w:pPr>
        <w:jc w:val="both"/>
        <w:ind w:right="180" w:firstLine="541"/>
        <w:spacing w:after="0" w:line="266" w:lineRule="auto"/>
        <w:tabs>
          <w:tab w:leader="none" w:pos="766"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Trustee shall, by an instrument in writing, appoint a temporary chairman of the meeting, unless the meeting shall have been called by the Company or by Holders of Securities as provided in Section 15.2(2),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51" w:lineRule="exact"/>
        <w:rPr>
          <w:rFonts w:ascii="Times New Roman" w:cs="Times New Roman" w:eastAsia="Times New Roman" w:hAnsi="Times New Roman"/>
          <w:sz w:val="15"/>
          <w:szCs w:val="15"/>
          <w:color w:val="auto"/>
        </w:rPr>
      </w:pPr>
    </w:p>
    <w:p>
      <w:pPr>
        <w:ind w:right="160" w:firstLine="541"/>
        <w:spacing w:after="0" w:line="272" w:lineRule="auto"/>
        <w:tabs>
          <w:tab w:leader="none" w:pos="766"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any meeting, each Holder of a Security of such series or proxy shall be entitled to one vote for each $1,000 principal amount of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146" w:lineRule="exact"/>
        <w:rPr>
          <w:rFonts w:ascii="Times New Roman" w:cs="Times New Roman" w:eastAsia="Times New Roman" w:hAnsi="Times New Roman"/>
          <w:sz w:val="15"/>
          <w:szCs w:val="15"/>
          <w:color w:val="auto"/>
        </w:rPr>
      </w:pPr>
    </w:p>
    <w:p>
      <w:pPr>
        <w:ind w:right="320" w:firstLine="541"/>
        <w:spacing w:after="0" w:line="272" w:lineRule="auto"/>
        <w:tabs>
          <w:tab w:leader="none" w:pos="766"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meeting of Holders of Securities of any series duly called pursuant to Section 15.2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15.6 </w:t>
      </w:r>
      <w:r>
        <w:rPr>
          <w:rFonts w:ascii="Times New Roman" w:cs="Times New Roman" w:eastAsia="Times New Roman" w:hAnsi="Times New Roman"/>
          <w:sz w:val="15"/>
          <w:szCs w:val="15"/>
          <w:u w:val="single" w:color="auto"/>
          <w:color w:val="auto"/>
        </w:rPr>
        <w:t>Counting Votes and Recording Action of Meetings</w:t>
      </w:r>
    </w:p>
    <w:p>
      <w:pPr>
        <w:spacing w:after="0" w:line="194" w:lineRule="exact"/>
        <w:rPr>
          <w:sz w:val="20"/>
          <w:szCs w:val="20"/>
          <w:color w:val="auto"/>
        </w:rPr>
      </w:pPr>
    </w:p>
    <w:p>
      <w:pPr>
        <w:ind w:firstLine="549"/>
        <w:spacing w:after="0" w:line="259" w:lineRule="auto"/>
        <w:rPr>
          <w:sz w:val="20"/>
          <w:szCs w:val="20"/>
          <w:color w:val="auto"/>
        </w:rPr>
      </w:pPr>
      <w:r>
        <w:rPr>
          <w:rFonts w:ascii="Times New Roman" w:cs="Times New Roman" w:eastAsia="Times New Roman" w:hAnsi="Times New Roman"/>
          <w:sz w:val="15"/>
          <w:szCs w:val="15"/>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permanent secretary of the meeting their verified written reports in triplicate of all votes cast at the meeting. A record, at least in triplicate, of the proceedings of each meeting of Holders of Securities of any series shall be prepared by the permanent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15.2 and, if applicable, Section 15.4.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Remainder of Page Intentionally Left Blank</w:t>
      </w:r>
      <w:r>
        <w:rPr>
          <w:rFonts w:ascii="Times New Roman" w:cs="Times New Roman" w:eastAsia="Times New Roman" w:hAnsi="Times New Roman"/>
          <w:sz w:val="15"/>
          <w:szCs w:val="15"/>
          <w:color w:val="auto"/>
        </w:rPr>
        <w: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53275"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5"/>
          <w:szCs w:val="15"/>
          <w:color w:val="auto"/>
        </w:rPr>
        <w:t>IN WITNESS WHEREOF, the parties hereto have caused this Indenture to be duly executed as of the day and year first above written.</w:t>
      </w:r>
    </w:p>
    <w:p>
      <w:pPr>
        <w:spacing w:after="0" w:line="19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5"/>
          <w:szCs w:val="15"/>
          <w:b w:val="1"/>
          <w:bCs w:val="1"/>
          <w:color w:val="auto"/>
        </w:rPr>
        <w:t>SERVE ROBOTICS INC.</w:t>
      </w:r>
    </w:p>
    <w:p>
      <w:pPr>
        <w:spacing w:after="0" w:line="198"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15875</wp:posOffset>
            </wp:positionV>
            <wp:extent cx="2573655" cy="146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2573655" cy="14605"/>
                    </a:xfrm>
                    <a:prstGeom prst="rect">
                      <a:avLst/>
                    </a:prstGeom>
                    <a:noFill/>
                  </pic:spPr>
                </pic:pic>
              </a:graphicData>
            </a:graphic>
          </wp:anchor>
        </w:drawing>
      </w:r>
    </w:p>
    <w:p>
      <w:pPr>
        <w:spacing w:after="0" w:line="1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5"/>
          <w:szCs w:val="15"/>
          <w:color w:val="auto"/>
        </w:rPr>
        <w:t>Name:</w:t>
      </w:r>
    </w:p>
    <w:p>
      <w:pPr>
        <w:spacing w:after="0" w:line="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5"/>
          <w:szCs w:val="15"/>
          <w:color w:val="auto"/>
        </w:rPr>
        <w:t>Title:</w:t>
      </w:r>
    </w:p>
    <w:p>
      <w:pPr>
        <w:spacing w:after="0" w:line="20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-5080</wp:posOffset>
            </wp:positionV>
            <wp:extent cx="11144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1114425" cy="6985"/>
                    </a:xfrm>
                    <a:prstGeom prst="rect">
                      <a:avLst/>
                    </a:prstGeom>
                    <a:noFill/>
                  </pic:spPr>
                </pic:pic>
              </a:graphicData>
            </a:graphic>
          </wp:anchor>
        </w:drawing>
      </w:r>
    </w:p>
    <w:p>
      <w:pPr>
        <w:spacing w:after="0" w:line="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5"/>
          <w:szCs w:val="15"/>
          <w:color w:val="auto"/>
        </w:rPr>
        <w:t>as Trustee</w:t>
      </w:r>
    </w:p>
    <w:p>
      <w:pPr>
        <w:spacing w:after="0" w:line="20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15875</wp:posOffset>
            </wp:positionV>
            <wp:extent cx="2573655"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2573655" cy="14605"/>
                    </a:xfrm>
                    <a:prstGeom prst="rect">
                      <a:avLst/>
                    </a:prstGeom>
                    <a:noFill/>
                  </pic:spPr>
                </pic:pic>
              </a:graphicData>
            </a:graphic>
          </wp:anchor>
        </w:drawing>
      </w:r>
    </w:p>
    <w:p>
      <w:pPr>
        <w:spacing w:after="0" w:line="1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5"/>
          <w:szCs w:val="15"/>
          <w:color w:val="auto"/>
        </w:rPr>
        <w:t>Name:</w:t>
      </w:r>
    </w:p>
    <w:p>
      <w:pPr>
        <w:spacing w:after="0" w:line="2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370205</wp:posOffset>
            </wp:positionV>
            <wp:extent cx="7153275" cy="146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9599"/>
          </w:cols>
          <w:pgMar w:left="860" w:top="789" w:right="1440"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5381625</wp:posOffset>
            </wp:positionH>
            <wp:positionV relativeFrom="paragraph">
              <wp:posOffset>146685</wp:posOffset>
            </wp:positionV>
            <wp:extent cx="952500" cy="537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952500" cy="53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May 11, 2026</w:t>
            </w:r>
          </w:p>
        </w:tc>
        <w:tc>
          <w:tcPr>
            <w:tcW w:w="8020" w:type="dxa"/>
            <w:vAlign w:val="bottom"/>
          </w:tcPr>
          <w:p>
            <w:pPr>
              <w:ind w:left="5680"/>
              <w:spacing w:after="0"/>
              <w:rPr>
                <w:sz w:val="20"/>
                <w:szCs w:val="20"/>
                <w:color w:val="auto"/>
              </w:rPr>
            </w:pPr>
            <w:r>
              <w:rPr>
                <w:rFonts w:ascii="Times New Roman" w:cs="Times New Roman" w:eastAsia="Times New Roman" w:hAnsi="Times New Roman"/>
                <w:sz w:val="15"/>
                <w:szCs w:val="15"/>
                <w:b w:val="1"/>
                <w:bCs w:val="1"/>
                <w:color w:val="auto"/>
              </w:rPr>
              <w:t>Orrick, Herrington &amp; Sutcliffe LLP</w:t>
            </w:r>
          </w:p>
        </w:tc>
      </w:tr>
      <w:tr>
        <w:trPr>
          <w:trHeight w:val="183"/>
        </w:trPr>
        <w:tc>
          <w:tcPr>
            <w:tcW w:w="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20" w:type="dxa"/>
            <w:vAlign w:val="bottom"/>
          </w:tcPr>
          <w:p>
            <w:pPr>
              <w:ind w:left="5680"/>
              <w:spacing w:after="0"/>
              <w:rPr>
                <w:sz w:val="20"/>
                <w:szCs w:val="20"/>
                <w:color w:val="auto"/>
              </w:rPr>
            </w:pPr>
            <w:r>
              <w:rPr>
                <w:rFonts w:ascii="Times New Roman" w:cs="Times New Roman" w:eastAsia="Times New Roman" w:hAnsi="Times New Roman"/>
                <w:sz w:val="15"/>
                <w:szCs w:val="15"/>
                <w:color w:val="auto"/>
              </w:rPr>
              <w:t>222 Berkeley St.</w:t>
            </w:r>
          </w:p>
        </w:tc>
      </w:tr>
      <w:tr>
        <w:trPr>
          <w:trHeight w:val="183"/>
        </w:trPr>
        <w:tc>
          <w:tcPr>
            <w:tcW w:w="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20" w:type="dxa"/>
            <w:vAlign w:val="bottom"/>
          </w:tcPr>
          <w:p>
            <w:pPr>
              <w:ind w:left="5680"/>
              <w:spacing w:after="0"/>
              <w:rPr>
                <w:sz w:val="20"/>
                <w:szCs w:val="20"/>
                <w:color w:val="auto"/>
              </w:rPr>
            </w:pPr>
            <w:r>
              <w:rPr>
                <w:rFonts w:ascii="Times New Roman" w:cs="Times New Roman" w:eastAsia="Times New Roman" w:hAnsi="Times New Roman"/>
                <w:sz w:val="15"/>
                <w:szCs w:val="15"/>
                <w:color w:val="auto"/>
              </w:rPr>
              <w:t>Suite 2000</w:t>
            </w:r>
          </w:p>
        </w:tc>
      </w:tr>
      <w:tr>
        <w:trPr>
          <w:trHeight w:val="183"/>
        </w:trPr>
        <w:tc>
          <w:tcPr>
            <w:tcW w:w="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20" w:type="dxa"/>
            <w:vAlign w:val="bottom"/>
          </w:tcPr>
          <w:p>
            <w:pPr>
              <w:ind w:left="5680"/>
              <w:spacing w:after="0"/>
              <w:rPr>
                <w:sz w:val="20"/>
                <w:szCs w:val="20"/>
                <w:color w:val="auto"/>
              </w:rPr>
            </w:pPr>
            <w:r>
              <w:rPr>
                <w:rFonts w:ascii="Times New Roman" w:cs="Times New Roman" w:eastAsia="Times New Roman" w:hAnsi="Times New Roman"/>
                <w:sz w:val="15"/>
                <w:szCs w:val="15"/>
                <w:color w:val="auto"/>
              </w:rPr>
              <w:t>Boston, MA 02116</w:t>
            </w:r>
          </w:p>
        </w:tc>
      </w:tr>
      <w:tr>
        <w:trPr>
          <w:trHeight w:val="183"/>
        </w:trPr>
        <w:tc>
          <w:tcPr>
            <w:tcW w:w="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8020" w:type="dxa"/>
            <w:vAlign w:val="bottom"/>
          </w:tcPr>
          <w:p>
            <w:pPr>
              <w:ind w:left="5680"/>
              <w:spacing w:after="0"/>
              <w:rPr>
                <w:sz w:val="20"/>
                <w:szCs w:val="20"/>
                <w:color w:val="auto"/>
              </w:rPr>
            </w:pPr>
            <w:r>
              <w:rPr>
                <w:rFonts w:ascii="Times New Roman" w:cs="Times New Roman" w:eastAsia="Times New Roman" w:hAnsi="Times New Roman"/>
                <w:sz w:val="15"/>
                <w:szCs w:val="15"/>
                <w:color w:val="auto"/>
              </w:rPr>
              <w:t>+1 (617) 880-2219</w:t>
            </w:r>
          </w:p>
        </w:tc>
      </w:tr>
      <w:tr>
        <w:trPr>
          <w:trHeight w:val="198"/>
        </w:trPr>
        <w:tc>
          <w:tcPr>
            <w:tcW w:w="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20" w:type="dxa"/>
            <w:vAlign w:val="bottom"/>
          </w:tcPr>
          <w:p>
            <w:pPr>
              <w:ind w:left="5680"/>
              <w:spacing w:after="0"/>
              <w:rPr>
                <w:sz w:val="20"/>
                <w:szCs w:val="20"/>
                <w:color w:val="auto"/>
              </w:rPr>
            </w:pPr>
            <w:r>
              <w:rPr>
                <w:rFonts w:ascii="Times New Roman" w:cs="Times New Roman" w:eastAsia="Times New Roman" w:hAnsi="Times New Roman"/>
                <w:sz w:val="15"/>
                <w:szCs w:val="15"/>
                <w:color w:val="auto"/>
              </w:rPr>
              <w:t>orrick.com</w:t>
            </w:r>
          </w:p>
        </w:tc>
      </w:tr>
      <w:tr>
        <w:trPr>
          <w:trHeight w:val="352"/>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Serve Robotics Inc.</w:t>
            </w:r>
          </w:p>
        </w:tc>
        <w:tc>
          <w:tcPr>
            <w:tcW w:w="8020" w:type="dxa"/>
            <w:vAlign w:val="bottom"/>
          </w:tcPr>
          <w:p>
            <w:pPr>
              <w:spacing w:after="0"/>
              <w:rPr>
                <w:sz w:val="24"/>
                <w:szCs w:val="24"/>
                <w:color w:val="auto"/>
              </w:rPr>
            </w:pPr>
          </w:p>
        </w:tc>
      </w:tr>
      <w:tr>
        <w:trPr>
          <w:trHeight w:val="183"/>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730 Broadway</w:t>
            </w:r>
          </w:p>
        </w:tc>
        <w:tc>
          <w:tcPr>
            <w:tcW w:w="8020" w:type="dxa"/>
            <w:vAlign w:val="bottom"/>
          </w:tcPr>
          <w:p>
            <w:pPr>
              <w:spacing w:after="0"/>
              <w:rPr>
                <w:sz w:val="15"/>
                <w:szCs w:val="15"/>
                <w:color w:val="auto"/>
              </w:rPr>
            </w:pPr>
          </w:p>
        </w:tc>
      </w:tr>
      <w:tr>
        <w:trPr>
          <w:trHeight w:val="198"/>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Redwood City, California 94063</w:t>
            </w:r>
          </w:p>
        </w:tc>
        <w:tc>
          <w:tcPr>
            <w:tcW w:w="8020" w:type="dxa"/>
            <w:vAlign w:val="bottom"/>
          </w:tcPr>
          <w:p>
            <w:pPr>
              <w:spacing w:after="0"/>
              <w:rPr>
                <w:sz w:val="17"/>
                <w:szCs w:val="17"/>
                <w:color w:val="auto"/>
              </w:rPr>
            </w:pPr>
          </w:p>
        </w:tc>
      </w:tr>
      <w:tr>
        <w:trPr>
          <w:trHeight w:val="352"/>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Re:</w:t>
            </w:r>
          </w:p>
        </w:tc>
        <w:tc>
          <w:tcPr>
            <w:tcW w:w="2200" w:type="dxa"/>
            <w:vAlign w:val="bottom"/>
          </w:tcPr>
          <w:p>
            <w:pPr>
              <w:spacing w:after="0"/>
              <w:rPr>
                <w:sz w:val="20"/>
                <w:szCs w:val="20"/>
                <w:color w:val="auto"/>
              </w:rPr>
            </w:pPr>
            <w:r>
              <w:rPr>
                <w:rFonts w:ascii="Times New Roman" w:cs="Times New Roman" w:eastAsia="Times New Roman" w:hAnsi="Times New Roman"/>
                <w:sz w:val="15"/>
                <w:szCs w:val="15"/>
                <w:color w:val="auto"/>
              </w:rPr>
              <w:t>Serve Robotics Inc.</w:t>
            </w:r>
          </w:p>
        </w:tc>
        <w:tc>
          <w:tcPr>
            <w:tcW w:w="8020" w:type="dxa"/>
            <w:vAlign w:val="bottom"/>
          </w:tcPr>
          <w:p>
            <w:pPr>
              <w:spacing w:after="0"/>
              <w:rPr>
                <w:sz w:val="24"/>
                <w:szCs w:val="24"/>
                <w:color w:val="auto"/>
              </w:rPr>
            </w:pPr>
          </w:p>
        </w:tc>
      </w:tr>
      <w:tr>
        <w:trPr>
          <w:trHeight w:val="163"/>
        </w:trPr>
        <w:tc>
          <w:tcPr>
            <w:tcW w:w="560" w:type="dxa"/>
            <w:vAlign w:val="bottom"/>
          </w:tcPr>
          <w:p>
            <w:pPr>
              <w:spacing w:after="0"/>
              <w:rPr>
                <w:sz w:val="14"/>
                <w:szCs w:val="14"/>
                <w:color w:val="auto"/>
              </w:rPr>
            </w:pPr>
          </w:p>
        </w:tc>
        <w:tc>
          <w:tcPr>
            <w:tcW w:w="2200" w:type="dxa"/>
            <w:vAlign w:val="bottom"/>
            <w:tcBorders>
              <w:bottom w:val="single" w:sz="8" w:color="auto"/>
            </w:tcBorders>
          </w:tcPr>
          <w:p>
            <w:pPr>
              <w:spacing w:after="0" w:line="164" w:lineRule="exact"/>
              <w:rPr>
                <w:sz w:val="20"/>
                <w:szCs w:val="20"/>
                <w:color w:val="auto"/>
              </w:rPr>
            </w:pPr>
            <w:r>
              <w:rPr>
                <w:rFonts w:ascii="Times New Roman" w:cs="Times New Roman" w:eastAsia="Times New Roman" w:hAnsi="Times New Roman"/>
                <w:sz w:val="15"/>
                <w:szCs w:val="15"/>
                <w:color w:val="auto"/>
              </w:rPr>
              <w:t>Registration Statement on Form S-3</w:t>
            </w:r>
          </w:p>
        </w:tc>
        <w:tc>
          <w:tcPr>
            <w:tcW w:w="8020" w:type="dxa"/>
            <w:vAlign w:val="bottom"/>
          </w:tcPr>
          <w:p>
            <w:pPr>
              <w:spacing w:after="0"/>
              <w:rPr>
                <w:sz w:val="14"/>
                <w:szCs w:val="14"/>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5"/>
          <w:szCs w:val="15"/>
          <w:color w:val="auto"/>
        </w:rPr>
        <w:t>We have acted as counsel to Serve Robotics Inc., a Delaware corporation (the “Company”), in connection with the filing by the Company of the Registration Statement on Form S-3 (the “Registration Statement”), with the Securities and Exchange Commission (the “Commission”) relating to the offering from time to time, pursuant to Rule 415 of the General Rules and Regulations of the Commission promulgated under the Securities Act of 1933, as amended (the “Securities Act”), by the Company of the following securities in an indeterminate amount: (i) common stock of the Company, $0.0001 par value per share (“Common Stock”), including Common Stock that may be issued upon conversion of the Debt Securities (as defined below) or the exercise of Warrants (as defined below); (ii) preferred stock of the Company, $0.0001 par value per share (“Preferred Stock”), including Preferred Stock that may be issued upon conversion of the Debt Securities or the exercise of Warrants; (iii) debt securities of the Company which may be senior or subordinated, and which may be issued in one or more series (“Debt Securities”); (iv) warrants to purchase Common Stock, Preferred Stock or Debt Securities or other securities, currencies or commodities (“Warrants”); (v) subscription rights (“Rights”) entitling the holders thereof to purchase shares of our Common Stock, Preferred Stock or our Debt Securities; and (vi) units consisting of Common Stock, Preferred Stock, Debt Securities, Warrants or Rights, in any combination (“Units”). The Registration Statement includes two prospectuses, (i) a Base Prospectus (the “Base Prospectus”) and (ii) a sales agreement prospectus (the “Sales Agreement Prospectus”) covering up to $150,000,000 of shares of Common Stock that may be sold pursuant to the Sales Agreement (the “Sales Agreement”) dated May 11, 2026, by and among the Company, Evercore Group L.L.C., Guggenheim Securities, LLC, Oppenheimer &amp; Co. Inc., Northland Securities, Inc. and Wedbush Securities Inc. (such agreement, the “Sales Agreement”, and such shares, the “Placement Shares”).</w:t>
      </w:r>
    </w:p>
    <w:p>
      <w:pPr>
        <w:spacing w:after="0" w:line="15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5"/>
          <w:szCs w:val="15"/>
          <w:color w:val="auto"/>
        </w:rPr>
        <w:t>The offering of Common Stock, Preferred Stock, Debt Securities, Warrants, Rights and Units (collectively, the “Securities”) will be as set forth in the Base Prospectus, as supplemented by one or more supplements to the Base Prospectus (each, a “Prospectus Supplement”). The offering of the Placement Shares will be pursuant to the Sales Agreement as set forth in the Sales Agreement Prospectus. The aggregate public offering price of the Securities being registered will not exceed $300,000,000. The Debt Securities will be issued pursuant to an indenture between the Company and a trustee to be appointed in the future (a “Trustee”) in the form filed as Exhibit 4.9 to the Registration Statement, as such indenture may be supplemented from time to time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354330</wp:posOffset>
            </wp:positionV>
            <wp:extent cx="7153275" cy="146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79" w:name="page180"/>
    <w:bookmarkEnd w:id="179"/>
    <w:p>
      <w:pPr>
        <w:ind w:left="8"/>
        <w:spacing w:after="0"/>
        <w:rPr>
          <w:sz w:val="20"/>
          <w:szCs w:val="20"/>
          <w:color w:val="auto"/>
        </w:rPr>
      </w:pPr>
      <w:r>
        <w:rPr>
          <w:rFonts w:ascii="Times New Roman" w:cs="Times New Roman" w:eastAsia="Times New Roman" w:hAnsi="Times New Roman"/>
          <w:sz w:val="15"/>
          <w:szCs w:val="15"/>
          <w:color w:val="auto"/>
        </w:rPr>
        <w:t>Serve Robotics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6200775</wp:posOffset>
            </wp:positionH>
            <wp:positionV relativeFrom="paragraph">
              <wp:posOffset>-99695</wp:posOffset>
            </wp:positionV>
            <wp:extent cx="952500" cy="537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952500" cy="53784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May 11, 2026</w:t>
      </w:r>
    </w:p>
    <w:p>
      <w:pPr>
        <w:spacing w:after="0" w:line="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Page 2</w:t>
      </w:r>
    </w:p>
    <w:p>
      <w:pPr>
        <w:spacing w:after="0" w:line="200" w:lineRule="exact"/>
        <w:rPr>
          <w:sz w:val="20"/>
          <w:szCs w:val="20"/>
          <w:color w:val="auto"/>
        </w:rPr>
      </w:pPr>
    </w:p>
    <w:p>
      <w:pPr>
        <w:spacing w:after="0" w:line="322" w:lineRule="exact"/>
        <w:rPr>
          <w:sz w:val="20"/>
          <w:szCs w:val="20"/>
          <w:color w:val="auto"/>
        </w:rPr>
      </w:pPr>
    </w:p>
    <w:p>
      <w:pPr>
        <w:ind w:left="8" w:right="20"/>
        <w:spacing w:after="0" w:line="261" w:lineRule="auto"/>
        <w:rPr>
          <w:sz w:val="20"/>
          <w:szCs w:val="20"/>
          <w:color w:val="auto"/>
        </w:rPr>
      </w:pPr>
      <w:r>
        <w:rPr>
          <w:rFonts w:ascii="Times New Roman" w:cs="Times New Roman" w:eastAsia="Times New Roman" w:hAnsi="Times New Roman"/>
          <w:sz w:val="15"/>
          <w:szCs w:val="15"/>
          <w:color w:val="auto"/>
        </w:rPr>
        <w:t>We have examined and relied upon the originals, or copies identified to our satisfaction, of such corporate records of the Company, certificates of public officials, officers of the Company and other persons, and such other documents, agreements and instruments as we have deemed relevant and necessary for the basis of our opinions hereinafter expressed. In such examination, we have assumed the following: (a) the authenticity of original documents and the genuineness of all signatures; (b) the conformity to the originals of all documents submitted to us as copies; (c) the legal competence of all signatories to such documents; (d) all documents filed as exhibits to the Registration Statement that have not been executed will conform to the filed forms thereof; and (e) the truth, accuracy and completeness of the information, representations and warranties contained in the records, documents, instruments and certificates we have reviewed.</w:t>
      </w:r>
    </w:p>
    <w:p>
      <w:pPr>
        <w:spacing w:after="0" w:line="1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We have also assumed that:</w:t>
      </w:r>
    </w:p>
    <w:p>
      <w:pPr>
        <w:spacing w:after="0" w:line="194" w:lineRule="exact"/>
        <w:rPr>
          <w:sz w:val="20"/>
          <w:szCs w:val="20"/>
          <w:color w:val="auto"/>
        </w:rPr>
      </w:pPr>
    </w:p>
    <w:p>
      <w:pPr>
        <w:ind w:left="188" w:hanging="188"/>
        <w:spacing w:after="0"/>
        <w:tabs>
          <w:tab w:leader="none" w:pos="188"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Statement and any amendments thereto (including post-effective amendments) will have become effective and comply with all applicable laws;</w:t>
      </w:r>
    </w:p>
    <w:p>
      <w:pPr>
        <w:spacing w:after="0" w:line="193" w:lineRule="exact"/>
        <w:rPr>
          <w:rFonts w:ascii="Times New Roman" w:cs="Times New Roman" w:eastAsia="Times New Roman" w:hAnsi="Times New Roman"/>
          <w:sz w:val="15"/>
          <w:szCs w:val="15"/>
          <w:color w:val="auto"/>
        </w:rPr>
      </w:pPr>
    </w:p>
    <w:p>
      <w:pPr>
        <w:ind w:left="228" w:hanging="228"/>
        <w:spacing w:after="0"/>
        <w:tabs>
          <w:tab w:leader="none" w:pos="228"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Registration Statement will be effective and will comply with all applicable laws at the time the Securities are offered or issued as contemplated by the Registration Statement;</w:t>
      </w:r>
    </w:p>
    <w:p>
      <w:pPr>
        <w:spacing w:after="0" w:line="193"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or more Prospectus Supplements will have been prepared and filed with the Commission describing the Securities offered thereby and will comply with all applicable laws;</w:t>
      </w:r>
    </w:p>
    <w:p>
      <w:pPr>
        <w:spacing w:after="0" w:line="193" w:lineRule="exact"/>
        <w:rPr>
          <w:rFonts w:ascii="Times New Roman" w:cs="Times New Roman" w:eastAsia="Times New Roman" w:hAnsi="Times New Roman"/>
          <w:sz w:val="15"/>
          <w:szCs w:val="15"/>
          <w:color w:val="auto"/>
        </w:rPr>
      </w:pPr>
    </w:p>
    <w:p>
      <w:pPr>
        <w:ind w:left="8" w:right="80" w:hanging="8"/>
        <w:spacing w:after="0" w:line="272" w:lineRule="auto"/>
        <w:tabs>
          <w:tab w:leader="none" w:pos="267"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of Directors of the Company (the “Board”), or a duly authorized committee thereof, shall have taken such action as may be necessary to authorize the issuance and sale of such Securities, and if applicable, establish the relative rights and preferences of such Securities, or other terms of such Securities, in each case as set forth in or contemplated by the Registration Statement and any Prospectus Supplements relating to such Securities;</w:t>
      </w:r>
    </w:p>
    <w:p>
      <w:pPr>
        <w:spacing w:after="0" w:line="146" w:lineRule="exact"/>
        <w:rPr>
          <w:rFonts w:ascii="Times New Roman" w:cs="Times New Roman" w:eastAsia="Times New Roman" w:hAnsi="Times New Roman"/>
          <w:sz w:val="15"/>
          <w:szCs w:val="15"/>
          <w:color w:val="auto"/>
        </w:rPr>
      </w:pPr>
    </w:p>
    <w:p>
      <w:pPr>
        <w:ind w:left="8" w:hanging="8"/>
        <w:spacing w:after="0" w:line="290" w:lineRule="auto"/>
        <w:tabs>
          <w:tab w:leader="none" w:pos="224"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Securities and the Placement Shares will be issued and sold in compliance with applicable federal and state securities laws and in the manner stated in the Registration Statement, the Sales Agreement Prospectus and the appropriate Prospectus Supplement;</w:t>
      </w:r>
    </w:p>
    <w:p>
      <w:pPr>
        <w:spacing w:after="0" w:line="132" w:lineRule="exact"/>
        <w:rPr>
          <w:rFonts w:ascii="Times New Roman" w:cs="Times New Roman" w:eastAsia="Times New Roman" w:hAnsi="Times New Roman"/>
          <w:sz w:val="15"/>
          <w:szCs w:val="15"/>
          <w:color w:val="auto"/>
        </w:rPr>
      </w:pPr>
    </w:p>
    <w:p>
      <w:pPr>
        <w:ind w:left="8" w:right="180" w:hanging="8"/>
        <w:spacing w:after="0" w:line="290" w:lineRule="auto"/>
        <w:tabs>
          <w:tab w:leader="none" w:pos="267" w:val="left"/>
        </w:tabs>
        <w:numPr>
          <w:ilvl w:val="0"/>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definitive purchase, underwriting or similar agreement with respect to any Securities offered or issued will have been duly authorized and validly executed and delivered by the Company and the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340360</wp:posOffset>
            </wp:positionV>
            <wp:extent cx="7153275" cy="14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9" w:right="319" w:bottom="1440" w:gutter="0" w:footer="0" w:header="0"/>
        </w:sectPr>
      </w:pPr>
    </w:p>
    <w:bookmarkStart w:id="180" w:name="page181"/>
    <w:bookmarkEnd w:id="180"/>
    <w:p>
      <w:pPr>
        <w:ind w:left="8"/>
        <w:spacing w:after="0"/>
        <w:rPr>
          <w:sz w:val="20"/>
          <w:szCs w:val="20"/>
          <w:color w:val="auto"/>
        </w:rPr>
      </w:pPr>
      <w:r>
        <w:rPr>
          <w:rFonts w:ascii="Times New Roman" w:cs="Times New Roman" w:eastAsia="Times New Roman" w:hAnsi="Times New Roman"/>
          <w:sz w:val="15"/>
          <w:szCs w:val="15"/>
          <w:color w:val="auto"/>
        </w:rPr>
        <w:t>Serve Robotics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6200775</wp:posOffset>
            </wp:positionH>
            <wp:positionV relativeFrom="paragraph">
              <wp:posOffset>-99695</wp:posOffset>
            </wp:positionV>
            <wp:extent cx="952500" cy="537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952500" cy="53784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May 11, 2026</w:t>
      </w:r>
    </w:p>
    <w:p>
      <w:pPr>
        <w:spacing w:after="0" w:line="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Page 3</w:t>
      </w:r>
    </w:p>
    <w:p>
      <w:pPr>
        <w:spacing w:after="0" w:line="200" w:lineRule="exact"/>
        <w:rPr>
          <w:sz w:val="20"/>
          <w:szCs w:val="20"/>
          <w:color w:val="auto"/>
        </w:rPr>
      </w:pPr>
    </w:p>
    <w:p>
      <w:pPr>
        <w:spacing w:after="0" w:line="322" w:lineRule="exact"/>
        <w:rPr>
          <w:sz w:val="20"/>
          <w:szCs w:val="20"/>
          <w:color w:val="auto"/>
        </w:rPr>
      </w:pPr>
    </w:p>
    <w:p>
      <w:pPr>
        <w:ind w:left="8" w:right="240" w:hanging="8"/>
        <w:spacing w:after="0" w:line="290" w:lineRule="auto"/>
        <w:tabs>
          <w:tab w:leader="none" w:pos="309"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Securities issuable upon conversion, exchange or exercise of any Security being offered or issued will be duly authorized, created and, if appropriate, reserved for issuance upon such conversion, exchange or exercise;</w:t>
      </w:r>
    </w:p>
    <w:p>
      <w:pPr>
        <w:spacing w:after="0" w:line="132" w:lineRule="exact"/>
        <w:rPr>
          <w:rFonts w:ascii="Times New Roman" w:cs="Times New Roman" w:eastAsia="Times New Roman" w:hAnsi="Times New Roman"/>
          <w:sz w:val="15"/>
          <w:szCs w:val="15"/>
          <w:color w:val="auto"/>
        </w:rPr>
      </w:pPr>
    </w:p>
    <w:p>
      <w:pPr>
        <w:ind w:left="8" w:right="80" w:hanging="8"/>
        <w:spacing w:after="0" w:line="266" w:lineRule="auto"/>
        <w:tabs>
          <w:tab w:leader="none" w:pos="352"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Debt Security, Warrant, Right or Unit), as the case may be, then outstanding, will not exceed the total number of authorized shares of Common Stock or Preferred Stock, as applicable, available for issuance under the Company’s certificate of incorporation as then in effect;</w:t>
      </w:r>
    </w:p>
    <w:p>
      <w:pPr>
        <w:spacing w:after="0" w:line="151" w:lineRule="exact"/>
        <w:rPr>
          <w:rFonts w:ascii="Times New Roman" w:cs="Times New Roman" w:eastAsia="Times New Roman" w:hAnsi="Times New Roman"/>
          <w:sz w:val="15"/>
          <w:szCs w:val="15"/>
          <w:color w:val="auto"/>
        </w:rPr>
      </w:pPr>
    </w:p>
    <w:p>
      <w:pPr>
        <w:ind w:left="8" w:hanging="8"/>
        <w:spacing w:after="0" w:line="290" w:lineRule="auto"/>
        <w:tabs>
          <w:tab w:leader="none" w:pos="267"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consideration received for the issuance and sale of shares of Common Stock or Preferred Stock, as applicable, will be in an amount approved by the Board, or a duly authorized committee thereof, that is not less than the par value per share of such stock;</w:t>
      </w:r>
    </w:p>
    <w:p>
      <w:pPr>
        <w:spacing w:after="0" w:line="132" w:lineRule="exact"/>
        <w:rPr>
          <w:rFonts w:ascii="Times New Roman" w:cs="Times New Roman" w:eastAsia="Times New Roman" w:hAnsi="Times New Roman"/>
          <w:sz w:val="15"/>
          <w:szCs w:val="15"/>
          <w:color w:val="auto"/>
        </w:rPr>
      </w:pPr>
    </w:p>
    <w:p>
      <w:pPr>
        <w:ind w:left="8" w:right="20" w:hanging="8"/>
        <w:spacing w:after="0" w:line="290" w:lineRule="auto"/>
        <w:tabs>
          <w:tab w:leader="none" w:pos="224"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time of the issuance and sale of the Securities or the Placement Shares, the Company will be validly existing as a corporation and in good standing under the laws of the State of Delaware;</w:t>
      </w:r>
    </w:p>
    <w:p>
      <w:pPr>
        <w:spacing w:after="0" w:line="132" w:lineRule="exact"/>
        <w:rPr>
          <w:rFonts w:ascii="Times New Roman" w:cs="Times New Roman" w:eastAsia="Times New Roman" w:hAnsi="Times New Roman"/>
          <w:sz w:val="15"/>
          <w:szCs w:val="15"/>
          <w:color w:val="auto"/>
        </w:rPr>
      </w:pPr>
    </w:p>
    <w:p>
      <w:pPr>
        <w:ind w:left="8" w:right="20" w:hanging="8"/>
        <w:spacing w:after="0" w:line="290" w:lineRule="auto"/>
        <w:tabs>
          <w:tab w:leader="none" w:pos="267"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Indenture will be duly qualified under the Trust Indenture Act of 1939, as amended (the “Trust Indenture Act”) and the applicable Trustee is qualified to act as trustee under the Indenture;</w:t>
      </w:r>
    </w:p>
    <w:p>
      <w:pPr>
        <w:spacing w:after="0" w:line="132" w:lineRule="exact"/>
        <w:rPr>
          <w:rFonts w:ascii="Times New Roman" w:cs="Times New Roman" w:eastAsia="Times New Roman" w:hAnsi="Times New Roman"/>
          <w:sz w:val="15"/>
          <w:szCs w:val="15"/>
          <w:color w:val="auto"/>
        </w:rPr>
      </w:pPr>
    </w:p>
    <w:p>
      <w:pPr>
        <w:ind w:left="308" w:hanging="308"/>
        <w:spacing w:after="0"/>
        <w:tabs>
          <w:tab w:leader="none" w:pos="308"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shall not have occurred any change in law affecting the legality or enforceability of such Security;</w:t>
      </w:r>
    </w:p>
    <w:p>
      <w:pPr>
        <w:spacing w:after="0" w:line="193" w:lineRule="exact"/>
        <w:rPr>
          <w:rFonts w:ascii="Times New Roman" w:cs="Times New Roman" w:eastAsia="Times New Roman" w:hAnsi="Times New Roman"/>
          <w:sz w:val="15"/>
          <w:szCs w:val="15"/>
          <w:color w:val="auto"/>
        </w:rPr>
      </w:pPr>
    </w:p>
    <w:p>
      <w:pPr>
        <w:ind w:left="8" w:right="280" w:hanging="8"/>
        <w:spacing w:after="0" w:line="272" w:lineRule="auto"/>
        <w:tabs>
          <w:tab w:leader="none" w:pos="352"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terms of any Security to be established subsequent to the date hereof, nor the issuance and delivery of such Security, nor the compliance by the Company with the terms thereof, will violate any applicable law or will result in a default under or breach of any provision of any instrument or agreement then binding upon the Company, or any restriction imposed by any court or governmental body having jurisdiction over the Company; and</w:t>
      </w:r>
    </w:p>
    <w:p>
      <w:pPr>
        <w:spacing w:after="0" w:line="146" w:lineRule="exact"/>
        <w:rPr>
          <w:rFonts w:ascii="Times New Roman" w:cs="Times New Roman" w:eastAsia="Times New Roman" w:hAnsi="Times New Roman"/>
          <w:sz w:val="15"/>
          <w:szCs w:val="15"/>
          <w:color w:val="auto"/>
        </w:rPr>
      </w:pPr>
    </w:p>
    <w:p>
      <w:pPr>
        <w:ind w:left="8" w:right="100" w:hanging="8"/>
        <w:spacing w:after="0" w:line="290" w:lineRule="auto"/>
        <w:tabs>
          <w:tab w:leader="none" w:pos="343"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supplemental indenture, warrant agreement or unit agreement related to the Debt Securities, the Warrants or the Units, respectively, will be governed by the laws of the State of New York.</w:t>
      </w:r>
    </w:p>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Based upon the foregoing and in reliance thereon, and subject to the assumptions, exceptions, qualifications and limitations set forth herein, we are of the opinion that:</w:t>
      </w:r>
    </w:p>
    <w:p>
      <w:pPr>
        <w:spacing w:after="0" w:line="194" w:lineRule="exact"/>
        <w:rPr>
          <w:sz w:val="20"/>
          <w:szCs w:val="20"/>
          <w:color w:val="auto"/>
        </w:rPr>
      </w:pPr>
    </w:p>
    <w:p>
      <w:pPr>
        <w:ind w:left="8" w:right="200" w:hanging="8"/>
        <w:spacing w:after="0" w:line="272" w:lineRule="auto"/>
        <w:tabs>
          <w:tab w:leader="none" w:pos="158"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Common Stock will be validly issued, fully paid and nonassessable at such time as: (a) the terms of the issuance and sale of the Common Stock have been duly authorized by appropriate action of the Company; and (b) the Common Stock has been duly issued and sold as contemplated by the Registration Statement, the Prospectus, and any Prospectus Supplement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349250</wp:posOffset>
            </wp:positionV>
            <wp:extent cx="7153275" cy="14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28"/>
          </w:cols>
          <w:pgMar w:left="312" w:top="789" w:right="359" w:bottom="1440" w:gutter="0" w:footer="0" w:header="0"/>
        </w:sectPr>
      </w:pPr>
    </w:p>
    <w:bookmarkStart w:id="181" w:name="page182"/>
    <w:bookmarkEnd w:id="181"/>
    <w:p>
      <w:pPr>
        <w:ind w:left="8"/>
        <w:spacing w:after="0"/>
        <w:rPr>
          <w:sz w:val="20"/>
          <w:szCs w:val="20"/>
          <w:color w:val="auto"/>
        </w:rPr>
      </w:pPr>
      <w:r>
        <w:rPr>
          <w:rFonts w:ascii="Times New Roman" w:cs="Times New Roman" w:eastAsia="Times New Roman" w:hAnsi="Times New Roman"/>
          <w:sz w:val="15"/>
          <w:szCs w:val="15"/>
          <w:color w:val="auto"/>
        </w:rPr>
        <w:t>Serve Robotics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6200775</wp:posOffset>
            </wp:positionH>
            <wp:positionV relativeFrom="paragraph">
              <wp:posOffset>-99695</wp:posOffset>
            </wp:positionV>
            <wp:extent cx="952500" cy="537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952500" cy="53784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May 11, 2026</w:t>
      </w:r>
    </w:p>
    <w:p>
      <w:pPr>
        <w:spacing w:after="0" w:line="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Page 4</w:t>
      </w:r>
    </w:p>
    <w:p>
      <w:pPr>
        <w:spacing w:after="0" w:line="200" w:lineRule="exact"/>
        <w:rPr>
          <w:sz w:val="20"/>
          <w:szCs w:val="20"/>
          <w:color w:val="auto"/>
        </w:rPr>
      </w:pPr>
    </w:p>
    <w:p>
      <w:pPr>
        <w:spacing w:after="0" w:line="322" w:lineRule="exact"/>
        <w:rPr>
          <w:sz w:val="20"/>
          <w:szCs w:val="20"/>
          <w:color w:val="auto"/>
        </w:rPr>
      </w:pPr>
    </w:p>
    <w:p>
      <w:pPr>
        <w:ind w:left="8" w:right="120" w:hanging="8"/>
        <w:spacing w:after="0" w:line="266" w:lineRule="auto"/>
        <w:tabs>
          <w:tab w:leader="none" w:pos="158"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Preferred Stock will be validly issued, fully paid and nonassessable at such time as: (a) the terms of the issuance and sale of the Preferred Stock have been duly authorized by appropriate action of the Company; (b) a statement with respect to the shares establishing the Preferred Stock shall have been filed with the Secretary of State of the State of Delaware in the form and manner required by law; and (c) the Preferred Stock has been duly issued and sold as contemplated by the Registration Statement, the Prospectus and any Prospectus Supplement relating thereto.</w:t>
      </w:r>
    </w:p>
    <w:p>
      <w:pPr>
        <w:spacing w:after="0" w:line="151" w:lineRule="exact"/>
        <w:rPr>
          <w:rFonts w:ascii="Times New Roman" w:cs="Times New Roman" w:eastAsia="Times New Roman" w:hAnsi="Times New Roman"/>
          <w:sz w:val="15"/>
          <w:szCs w:val="15"/>
          <w:color w:val="auto"/>
        </w:rPr>
      </w:pPr>
    </w:p>
    <w:p>
      <w:pPr>
        <w:ind w:left="8" w:hanging="8"/>
        <w:spacing w:after="0" w:line="260" w:lineRule="auto"/>
        <w:tabs>
          <w:tab w:leader="none" w:pos="158"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Debt Securities (including any Debt Securities duly issued upon the exchange or conversion of any Debt Securities that are exchangeable or convertible into another series of Debt Securities) will constitute valid and binding obligations of the Company at such time as: (a) the Indenture, in substantially the form filed as an exhibit to the Registration Statement, has been duly authorized, executed and delivered by the Company and the Trustee; (b) the Trustee is qualified to act as trustee under the Indenture; (c) the forms and the terms of the Debt Securities and their issuance and sale have been approved by appropriate action of the Company, and the Debt Securities have been duly executed and delivered by the Company and authenticated by the Trustee, in accordance with the Indenture or a supplemental indenture thereto; (d) the Indenture has been duly qualified under the Trust Indenture Act; and (e) the Debt Securities have been issued and sold as contemplated by the Registration Statement, the Prospectus and any Prospectus Supplement relating thereto and the Indenture or a supplemental indenture thereto.</w:t>
      </w:r>
    </w:p>
    <w:p>
      <w:pPr>
        <w:spacing w:after="0" w:line="157" w:lineRule="exact"/>
        <w:rPr>
          <w:rFonts w:ascii="Times New Roman" w:cs="Times New Roman" w:eastAsia="Times New Roman" w:hAnsi="Times New Roman"/>
          <w:sz w:val="15"/>
          <w:szCs w:val="15"/>
          <w:color w:val="auto"/>
        </w:rPr>
      </w:pPr>
    </w:p>
    <w:p>
      <w:pPr>
        <w:ind w:left="8" w:right="420" w:hanging="8"/>
        <w:spacing w:after="0" w:line="261" w:lineRule="auto"/>
        <w:tabs>
          <w:tab w:leader="none" w:pos="158"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Warrants will constitute valid and binding obligations of the Company at such time as: (a) applicable warrant agreement relating to the Warrants has been duly authorized, executed and delivered by the Company and the applicable warrant agent; (b) the forms and the terms of the Warrants and their issuance and sale have been duly established in accordance with the applicable warrant agreement, if any, and the applicable definitive purchase, underwriting or similar agreement, and approved by appropriate action of the Company; (c) the Warrants have been duly executed and delivered by the Company and authenticated by the applicable warrant agent in accordance with the applicable warrant agreement; and (d) the Warrants have been issued and sold as contemplated by the Registration Statement, the Prospectus and any Prospectus Supplement relating thereto and the applicable warrant agreement.</w:t>
      </w:r>
    </w:p>
    <w:p>
      <w:pPr>
        <w:spacing w:after="0" w:line="156" w:lineRule="exact"/>
        <w:rPr>
          <w:rFonts w:ascii="Times New Roman" w:cs="Times New Roman" w:eastAsia="Times New Roman" w:hAnsi="Times New Roman"/>
          <w:sz w:val="15"/>
          <w:szCs w:val="15"/>
          <w:color w:val="auto"/>
        </w:rPr>
      </w:pPr>
    </w:p>
    <w:p>
      <w:pPr>
        <w:ind w:left="8" w:right="60" w:hanging="8"/>
        <w:spacing w:after="0" w:line="263" w:lineRule="auto"/>
        <w:tabs>
          <w:tab w:leader="none" w:pos="158"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will constitute valid and binding obligations of the Company at such time as: (a) the applicable rights agreement relating to the Rights has been duly authorized, executed and delivered by the Company and the applicable rights agent; (b) the forms and the terms of the Rights and their issuance and sale have been duly established in accordance with the applicable rights agreement and approved by appropriate action of the Company; (c) the Rights have been duly executed and delivered by the Company and authenticated by the applicable rights agent in accordance with the applicable rights agreement; and (d) the Rights have been issued and sold as contemplated by the Registration Statement, the Prospectus and any Prospectus Supplement relating thereto and the applicable rights agreement.</w:t>
      </w:r>
    </w:p>
    <w:p>
      <w:pPr>
        <w:spacing w:after="0" w:line="153" w:lineRule="exact"/>
        <w:rPr>
          <w:rFonts w:ascii="Times New Roman" w:cs="Times New Roman" w:eastAsia="Times New Roman" w:hAnsi="Times New Roman"/>
          <w:sz w:val="15"/>
          <w:szCs w:val="15"/>
          <w:color w:val="auto"/>
        </w:rPr>
      </w:pPr>
    </w:p>
    <w:p>
      <w:pPr>
        <w:ind w:left="8" w:right="20" w:hanging="8"/>
        <w:spacing w:after="0" w:line="263" w:lineRule="auto"/>
        <w:tabs>
          <w:tab w:leader="none" w:pos="158" w:val="left"/>
        </w:tabs>
        <w:numPr>
          <w:ilvl w:val="0"/>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Units will constitute valid and binding obligations of the Company at such time as: (a) the terms of the Units (including the Securities underlying the Units) and their issuance and sale have been approved by appropriate action of the Company, and the Units (and the Securities underlying the Units) have been duly executed and delivered by the Company and authenticated by the applicable units agent in accordance with the applicable units agreement; (b) the units agreement relating to the Units has been duly authorized, executed and delivered by the Company and the applicable units agent; and (c) the Units have been issued and sold as contemplated by the Registration Statement, the Prospectus and any Prospectus Supplement relating thereto and the applicable units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354330</wp:posOffset>
            </wp:positionV>
            <wp:extent cx="7153275" cy="14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68"/>
          </w:cols>
          <w:pgMar w:left="312" w:top="789" w:right="319" w:bottom="1440" w:gutter="0" w:footer="0" w:header="0"/>
        </w:sectPr>
      </w:pPr>
    </w:p>
    <w:bookmarkStart w:id="182" w:name="page183"/>
    <w:bookmarkEnd w:id="182"/>
    <w:p>
      <w:pPr>
        <w:ind w:left="8"/>
        <w:spacing w:after="0"/>
        <w:rPr>
          <w:sz w:val="20"/>
          <w:szCs w:val="20"/>
          <w:color w:val="auto"/>
        </w:rPr>
      </w:pPr>
      <w:r>
        <w:rPr>
          <w:rFonts w:ascii="Times New Roman" w:cs="Times New Roman" w:eastAsia="Times New Roman" w:hAnsi="Times New Roman"/>
          <w:sz w:val="15"/>
          <w:szCs w:val="15"/>
          <w:color w:val="auto"/>
        </w:rPr>
        <w:t>Serve Robotics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6200775</wp:posOffset>
            </wp:positionH>
            <wp:positionV relativeFrom="paragraph">
              <wp:posOffset>-99695</wp:posOffset>
            </wp:positionV>
            <wp:extent cx="952500" cy="537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952500" cy="537845"/>
                    </a:xfrm>
                    <a:prstGeom prst="rect">
                      <a:avLst/>
                    </a:prstGeom>
                    <a:noFill/>
                  </pic:spPr>
                </pic:pic>
              </a:graphicData>
            </a:graphic>
          </wp:anchor>
        </w:drawing>
      </w:r>
    </w:p>
    <w:p>
      <w:pPr>
        <w:spacing w:after="0" w:line="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May 11, 2026</w:t>
      </w:r>
    </w:p>
    <w:p>
      <w:pPr>
        <w:spacing w:after="0" w:line="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Page 5</w:t>
      </w:r>
    </w:p>
    <w:p>
      <w:pPr>
        <w:spacing w:after="0" w:line="200" w:lineRule="exact"/>
        <w:rPr>
          <w:sz w:val="20"/>
          <w:szCs w:val="20"/>
          <w:color w:val="auto"/>
        </w:rPr>
      </w:pPr>
    </w:p>
    <w:p>
      <w:pPr>
        <w:spacing w:after="0" w:line="322" w:lineRule="exact"/>
        <w:rPr>
          <w:sz w:val="20"/>
          <w:szCs w:val="20"/>
          <w:color w:val="auto"/>
        </w:rPr>
      </w:pPr>
    </w:p>
    <w:p>
      <w:pPr>
        <w:ind w:left="8" w:right="60" w:hanging="8"/>
        <w:spacing w:after="0" w:line="290" w:lineRule="auto"/>
        <w:tabs>
          <w:tab w:leader="none" w:pos="158"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Placement Shares, when sold and issued against payment therefor in accordance with the Sales Agreement, the Registration Statement and the Sales Agreement Prospectus, will be validly issued, fully paid and nonassessable.</w:t>
      </w:r>
    </w:p>
    <w:p>
      <w:pPr>
        <w:spacing w:after="0" w:line="133" w:lineRule="exact"/>
        <w:rPr>
          <w:sz w:val="20"/>
          <w:szCs w:val="20"/>
          <w:color w:val="auto"/>
        </w:rPr>
      </w:pPr>
    </w:p>
    <w:p>
      <w:pPr>
        <w:ind w:left="8" w:right="40"/>
        <w:spacing w:after="0" w:line="266" w:lineRule="auto"/>
        <w:rPr>
          <w:sz w:val="20"/>
          <w:szCs w:val="20"/>
          <w:color w:val="auto"/>
        </w:rPr>
      </w:pPr>
      <w:r>
        <w:rPr>
          <w:rFonts w:ascii="Times New Roman" w:cs="Times New Roman" w:eastAsia="Times New Roman" w:hAnsi="Times New Roman"/>
          <w:sz w:val="15"/>
          <w:szCs w:val="15"/>
          <w:color w:val="auto"/>
        </w:rPr>
        <w:t>The opinions set forth in paragraphs (3) through (6) above are subject, as to enforcement, to (a) the effect of bankruptcy, insolvency, liquidation, receivership, moratorium, reorganization, fraudulent conveyance or similar laws relating to or affecting the rights of creditors generally; (b) general principles of equity, including, without limitation, concepts of materiality, reasonableness, good faith, fair dealing, and the rules governing the availability of specific performance or injunctive relief, whether enforcement is sought in a proceeding in equity or at law; and (c) provisions of law that require that a judgment for money damages rendered by a court in the United States be expressed only in United States dollars.</w:t>
      </w:r>
    </w:p>
    <w:p>
      <w:pPr>
        <w:spacing w:after="0" w:line="151"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5"/>
          <w:szCs w:val="15"/>
          <w:color w:val="auto"/>
        </w:rPr>
        <w:t>We express no opinion as to any laws other than the law of the State of New York with respect to the opinions set forth in paragraphs (3) through (6) above and the General Corporation Law of the State of Delaware (including reported judicial decisions interpreting the foregoing) with respect to the opinions set forth in paragraphs (1) and (2) above,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51" w:lineRule="exact"/>
        <w:rPr>
          <w:sz w:val="20"/>
          <w:szCs w:val="20"/>
          <w:color w:val="auto"/>
        </w:rPr>
      </w:pPr>
    </w:p>
    <w:p>
      <w:pPr>
        <w:jc w:val="both"/>
        <w:ind w:left="8" w:right="300"/>
        <w:spacing w:after="0" w:line="272" w:lineRule="auto"/>
        <w:rPr>
          <w:sz w:val="20"/>
          <w:szCs w:val="20"/>
          <w:color w:val="auto"/>
        </w:rPr>
      </w:pPr>
      <w:r>
        <w:rPr>
          <w:rFonts w:ascii="Times New Roman" w:cs="Times New Roman" w:eastAsia="Times New Roman" w:hAnsi="Times New Roman"/>
          <w:sz w:val="15"/>
          <w:szCs w:val="15"/>
          <w:color w:val="auto"/>
        </w:rPr>
        <w:t>We hereby consent to the reference to us under the heading “Legal Matters” in the Prospectus and to the filing of this opinion letter as Exhibit 5.1 to the Registration Statement. By giving this consent, we do not admit that we are within the category of persons whose consent is required under Section 7 of the Securities Act and the rules and regulations of the Commission promulgated thereunder.</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Very truly yours,</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/s/ ORRICK, HERRINGTON &amp; SUTCLIFFE LLP</w:t>
      </w:r>
    </w:p>
    <w:p>
      <w:pPr>
        <w:spacing w:after="0" w:line="1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ORRICK, HERRINGTON &amp; SUTCLIFFE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7153275"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7153275" cy="14605"/>
                    </a:xfrm>
                    <a:prstGeom prst="rect">
                      <a:avLst/>
                    </a:prstGeom>
                    <a:noFill/>
                  </pic:spPr>
                </pic:pic>
              </a:graphicData>
            </a:graphic>
          </wp:anchor>
        </w:drawing>
      </w:r>
    </w:p>
    <w:p>
      <w:pPr>
        <w:sectPr>
          <w:pgSz w:w="11900" w:h="16838" w:orient="portrait"/>
          <w:cols w:equalWidth="0" w:num="1">
            <w:col w:w="11248"/>
          </w:cols>
          <w:pgMar w:left="312" w:top="789"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194" w:lineRule="exact"/>
        <w:rPr>
          <w:sz w:val="20"/>
          <w:szCs w:val="20"/>
          <w:color w:val="auto"/>
        </w:rPr>
      </w:pPr>
    </w:p>
    <w:p>
      <w:pPr>
        <w:jc w:val="both"/>
        <w:ind w:right="360"/>
        <w:spacing w:after="0" w:line="272" w:lineRule="auto"/>
        <w:rPr>
          <w:sz w:val="20"/>
          <w:szCs w:val="20"/>
          <w:color w:val="auto"/>
        </w:rPr>
      </w:pPr>
      <w:r>
        <w:rPr>
          <w:rFonts w:ascii="Times New Roman" w:cs="Times New Roman" w:eastAsia="Times New Roman" w:hAnsi="Times New Roman"/>
          <w:sz w:val="15"/>
          <w:szCs w:val="15"/>
          <w:color w:val="auto"/>
        </w:rPr>
        <w:t>We hereby consent to the incorporation by reference in this Registration Statement on Form S-3 of Serve Robotics Inc. of our report dated March 12, 2026 relating to the financial statements, which appears in Serve Robotics Inc.’s Annual Report on Form 10-K for the year ended December 31, 2025. We also consent to the reference to us under the heading “Experts” in such Registration Statement.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PricewaterhouseCoopers LLP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San Francisco,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11, 2026</w:t>
      </w:r>
    </w:p>
    <w:p>
      <w:pPr>
        <w:sectPr>
          <w:pgSz w:w="11900" w:h="16838" w:orient="portrait"/>
          <w:cols w:equalWidth="0" w:num="1">
            <w:col w:w="11260"/>
          </w:cols>
          <w:pgMar w:left="320" w:top="114" w:right="31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5"/>
          <w:szCs w:val="15"/>
          <w:b w:val="1"/>
          <w:bCs w:val="1"/>
          <w:color w:val="auto"/>
        </w:rPr>
        <w:t>Exhibit 23.2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98" w:lineRule="exact"/>
        <w:rPr>
          <w:sz w:val="20"/>
          <w:szCs w:val="20"/>
          <w:color w:val="auto"/>
        </w:rPr>
      </w:pPr>
    </w:p>
    <w:p>
      <w:pPr>
        <w:ind w:right="80" w:firstLine="549"/>
        <w:spacing w:after="0" w:line="272" w:lineRule="auto"/>
        <w:rPr>
          <w:sz w:val="20"/>
          <w:szCs w:val="20"/>
          <w:color w:val="auto"/>
        </w:rPr>
      </w:pPr>
      <w:r>
        <w:rPr>
          <w:rFonts w:ascii="Times New Roman" w:cs="Times New Roman" w:eastAsia="Times New Roman" w:hAnsi="Times New Roman"/>
          <w:sz w:val="15"/>
          <w:szCs w:val="15"/>
          <w:color w:val="auto"/>
        </w:rPr>
        <w:t>We consent to the incorporation by reference in this Registration Statement on Form S-3, of our report dated March 6, 2025, related to the consolidated financial statements of Serve Robotics Inc. (the “Company”) as of and for the year ended December 31, 2024, included in its Annual Report on Form 10-K for the year ended December 31, 2025. We also consent to the reference to us under the heading “Experts” in such Registration Statement.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dbb</w:t>
      </w:r>
      <w:r>
        <w:rPr>
          <w:rFonts w:ascii="Times New Roman" w:cs="Times New Roman" w:eastAsia="Times New Roman" w:hAnsi="Times New Roman"/>
          <w:sz w:val="15"/>
          <w:szCs w:val="15"/>
          <w:i w:val="1"/>
          <w:iCs w:val="1"/>
          <w:color w:val="auto"/>
        </w:rPr>
        <w:t>mckennon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Newport Beach,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11, 2026</w:t>
      </w:r>
    </w:p>
    <w:p>
      <w:pPr>
        <w:sectPr>
          <w:pgSz w:w="11900" w:h="16838" w:orient="portrait"/>
          <w:cols w:equalWidth="0" w:num="1">
            <w:col w:w="11260"/>
          </w:cols>
          <w:pgMar w:left="320" w:top="121" w:right="31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5"/>
          <w:szCs w:val="15"/>
          <w:b w:val="1"/>
          <w:bCs w:val="1"/>
          <w:color w:val="auto"/>
        </w:rPr>
        <w:t>Exhibit 23.3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Consent of Independent Auditor</w:t>
      </w:r>
    </w:p>
    <w:p>
      <w:pPr>
        <w:spacing w:after="0" w:line="198" w:lineRule="exact"/>
        <w:rPr>
          <w:sz w:val="20"/>
          <w:szCs w:val="20"/>
          <w:color w:val="auto"/>
        </w:rPr>
      </w:pPr>
    </w:p>
    <w:p>
      <w:pPr>
        <w:ind w:right="280" w:firstLine="549"/>
        <w:spacing w:after="0" w:line="272" w:lineRule="auto"/>
        <w:rPr>
          <w:sz w:val="20"/>
          <w:szCs w:val="20"/>
          <w:color w:val="auto"/>
        </w:rPr>
      </w:pPr>
      <w:r>
        <w:rPr>
          <w:rFonts w:ascii="Times New Roman" w:cs="Times New Roman" w:eastAsia="Times New Roman" w:hAnsi="Times New Roman"/>
          <w:sz w:val="15"/>
          <w:szCs w:val="15"/>
          <w:color w:val="auto"/>
        </w:rPr>
        <w:t>We hereby consent to the incorporation by reference in this Registration Statement on Form S-3 of Serve Robotics Inc. of our report dated April 13, 2026, relating to the financial statements of Diligent Robotics, Inc. as of and for the year ended December 31, 2025, appearing in the Serve Robotics Inc. Current Report on Form 8-K/A dated April 14, 2026. We also consent to the reference to us under the heading “Experts” in this Registration Statement.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dbb</w:t>
      </w:r>
      <w:r>
        <w:rPr>
          <w:rFonts w:ascii="Times New Roman" w:cs="Times New Roman" w:eastAsia="Times New Roman" w:hAnsi="Times New Roman"/>
          <w:sz w:val="15"/>
          <w:szCs w:val="15"/>
          <w:i w:val="1"/>
          <w:iCs w:val="1"/>
          <w:color w:val="auto"/>
        </w:rPr>
        <w:t>mckennon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Newport Beach, California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May 11, 2026</w:t>
      </w:r>
    </w:p>
    <w:p>
      <w:pPr>
        <w:sectPr>
          <w:pgSz w:w="11900" w:h="16838" w:orient="portrait"/>
          <w:cols w:equalWidth="0" w:num="1">
            <w:col w:w="11260"/>
          </w:cols>
          <w:pgMar w:left="320" w:top="121" w:right="319" w:bottom="1440" w:gutter="0" w:footer="0" w:header="0"/>
        </w:sectPr>
      </w:pPr>
    </w:p>
    <w:bookmarkStart w:id="186" w:name="page187"/>
    <w:bookmarkEnd w:id="186"/>
    <w:p>
      <w:pPr>
        <w:ind w:left="10140"/>
        <w:spacing w:after="0"/>
        <w:rPr>
          <w:sz w:val="20"/>
          <w:szCs w:val="20"/>
          <w:color w:val="auto"/>
        </w:rPr>
      </w:pPr>
      <w:r>
        <w:rPr>
          <w:rFonts w:ascii="Times New Roman" w:cs="Times New Roman" w:eastAsia="Times New Roman" w:hAnsi="Times New Roman"/>
          <w:sz w:val="18"/>
          <w:szCs w:val="18"/>
          <w:b w:val="1"/>
          <w:bCs w:val="1"/>
          <w:color w:val="auto"/>
        </w:rPr>
        <w:t>Ex-Filing Fees</w:t>
      </w:r>
    </w:p>
    <w:p>
      <w:pPr>
        <w:spacing w:after="0" w:line="18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S-3</w:t>
      </w:r>
    </w:p>
    <w:p>
      <w:pPr>
        <w:spacing w:after="0" w:line="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Serve Robotics Inc.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15327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7153275" cy="69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154940</wp:posOffset>
            </wp:positionV>
            <wp:extent cx="715327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7153275" cy="6985"/>
                    </a:xfrm>
                    <a:prstGeom prst="rect">
                      <a:avLst/>
                    </a:prstGeom>
                    <a:noFill/>
                  </pic:spPr>
                </pic:pic>
              </a:graphicData>
            </a:graphic>
          </wp:anchor>
        </w:drawing>
      </w:r>
    </w:p>
    <w:p>
      <w:pPr>
        <w:spacing w:after="0" w:line="30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Table 1: Newly Registered and Carry Forward Securities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Filing Fee</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Previously</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8"/>
              </w:rPr>
              <w:t>Paid in</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Connection</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Fee</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Proposed</w:t>
            </w: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Carry</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with</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5"/>
              </w:rPr>
              <w:t>Carry</w:t>
            </w: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Carry</w:t>
            </w: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9"/>
              </w:rPr>
              <w:t>Unsold</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rPr>
              <w:t>Calculation</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Maximum</w:t>
            </w:r>
          </w:p>
        </w:tc>
        <w:tc>
          <w:tcPr>
            <w:tcW w:w="40" w:type="dxa"/>
            <w:vAlign w:val="bottom"/>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Amount of</w:t>
            </w:r>
          </w:p>
        </w:tc>
        <w:tc>
          <w:tcPr>
            <w:tcW w:w="52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Forward</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Securities</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Security</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rPr>
              <w:t>or Carry</w:t>
            </w:r>
          </w:p>
        </w:tc>
        <w:tc>
          <w:tcPr>
            <w:tcW w:w="6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5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Offering</w:t>
            </w:r>
          </w:p>
        </w:tc>
        <w:tc>
          <w:tcPr>
            <w:tcW w:w="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020" w:type="dxa"/>
            <w:vAlign w:val="bottom"/>
            <w:gridSpan w:val="4"/>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Forward Forward</w:t>
            </w: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Initial</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5"/>
              </w:rPr>
              <w:t>to be</w:t>
            </w:r>
          </w:p>
        </w:tc>
        <w:tc>
          <w:tcPr>
            <w:tcW w:w="0" w:type="dxa"/>
            <w:vAlign w:val="bottom"/>
          </w:tcPr>
          <w:p>
            <w:pPr>
              <w:spacing w:after="0"/>
              <w:rPr>
                <w:sz w:val="1"/>
                <w:szCs w:val="1"/>
                <w:color w:val="auto"/>
              </w:rPr>
            </w:pPr>
          </w:p>
        </w:tc>
      </w:tr>
      <w:tr>
        <w:trPr>
          <w:trHeight w:val="126"/>
        </w:trPr>
        <w:tc>
          <w:tcPr>
            <w:tcW w:w="1540" w:type="dxa"/>
            <w:vAlign w:val="bottom"/>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Line Item Type</w:t>
            </w:r>
          </w:p>
        </w:tc>
        <w:tc>
          <w:tcPr>
            <w:tcW w:w="40" w:type="dxa"/>
            <w:vAlign w:val="bottom"/>
          </w:tcPr>
          <w:p>
            <w:pPr>
              <w:spacing w:after="0"/>
              <w:rPr>
                <w:sz w:val="10"/>
                <w:szCs w:val="10"/>
                <w:color w:val="auto"/>
              </w:rPr>
            </w:pPr>
          </w:p>
        </w:tc>
        <w:tc>
          <w:tcPr>
            <w:tcW w:w="1840" w:type="dxa"/>
            <w:vAlign w:val="bottom"/>
            <w:vMerge w:val="restart"/>
          </w:tcPr>
          <w:p>
            <w:pPr>
              <w:ind w:left="560"/>
              <w:spacing w:after="0"/>
              <w:rPr>
                <w:sz w:val="20"/>
                <w:szCs w:val="20"/>
                <w:color w:val="auto"/>
              </w:rPr>
            </w:pPr>
            <w:r>
              <w:rPr>
                <w:rFonts w:ascii="Times New Roman" w:cs="Times New Roman" w:eastAsia="Times New Roman" w:hAnsi="Times New Roman"/>
                <w:sz w:val="12"/>
                <w:szCs w:val="12"/>
                <w:b w:val="1"/>
                <w:bCs w:val="1"/>
                <w:color w:val="auto"/>
              </w:rPr>
              <w:t>Security Type</w:t>
            </w:r>
          </w:p>
        </w:tc>
        <w:tc>
          <w:tcPr>
            <w:tcW w:w="40" w:type="dxa"/>
            <w:vAlign w:val="bottom"/>
            <w:vMerge w:val="restart"/>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Notes</w:t>
            </w:r>
          </w:p>
        </w:tc>
        <w:tc>
          <w:tcPr>
            <w:tcW w:w="40" w:type="dxa"/>
            <w:vAlign w:val="bottom"/>
            <w:vMerge w:val="restart"/>
          </w:tcPr>
          <w:p>
            <w:pPr>
              <w:spacing w:after="0"/>
              <w:rPr>
                <w:sz w:val="10"/>
                <w:szCs w:val="10"/>
                <w:color w:val="auto"/>
              </w:rPr>
            </w:pPr>
          </w:p>
        </w:tc>
        <w:tc>
          <w:tcPr>
            <w:tcW w:w="640" w:type="dxa"/>
            <w:vAlign w:val="bottom"/>
            <w:gridSpan w:val="2"/>
          </w:tcPr>
          <w:p>
            <w:pPr>
              <w:jc w:val="center"/>
              <w:ind w:right="40"/>
              <w:spacing w:after="0" w:line="126" w:lineRule="exact"/>
              <w:rPr>
                <w:sz w:val="20"/>
                <w:szCs w:val="20"/>
                <w:color w:val="auto"/>
              </w:rPr>
            </w:pPr>
            <w:r>
              <w:rPr>
                <w:rFonts w:ascii="Times New Roman" w:cs="Times New Roman" w:eastAsia="Times New Roman" w:hAnsi="Times New Roman"/>
                <w:sz w:val="12"/>
                <w:szCs w:val="12"/>
                <w:b w:val="1"/>
                <w:bCs w:val="1"/>
                <w:color w:val="auto"/>
              </w:rPr>
              <w:t>Forward</w:t>
            </w:r>
          </w:p>
        </w:tc>
        <w:tc>
          <w:tcPr>
            <w:tcW w:w="620" w:type="dxa"/>
            <w:vAlign w:val="bottom"/>
            <w:gridSpan w:val="2"/>
            <w:vMerge w:val="continue"/>
          </w:tcPr>
          <w:p>
            <w:pPr>
              <w:spacing w:after="0"/>
              <w:rPr>
                <w:sz w:val="10"/>
                <w:szCs w:val="10"/>
                <w:color w:val="auto"/>
              </w:rPr>
            </w:pPr>
          </w:p>
        </w:tc>
        <w:tc>
          <w:tcPr>
            <w:tcW w:w="560" w:type="dxa"/>
            <w:vAlign w:val="bottom"/>
            <w:gridSpan w:val="2"/>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rPr>
              <w:t>Price Per</w:t>
            </w:r>
          </w:p>
        </w:tc>
        <w:tc>
          <w:tcPr>
            <w:tcW w:w="40" w:type="dxa"/>
            <w:vAlign w:val="bottom"/>
          </w:tcPr>
          <w:p>
            <w:pPr>
              <w:spacing w:after="0"/>
              <w:rPr>
                <w:sz w:val="10"/>
                <w:szCs w:val="10"/>
                <w:color w:val="auto"/>
              </w:rPr>
            </w:pPr>
          </w:p>
        </w:tc>
        <w:tc>
          <w:tcPr>
            <w:tcW w:w="108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Aggregate Offering</w:t>
            </w: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2"/>
                <w:szCs w:val="12"/>
                <w:b w:val="1"/>
                <w:bCs w:val="1"/>
                <w:color w:val="auto"/>
                <w:w w:val="97"/>
              </w:rPr>
              <w:t>Registration</w:t>
            </w:r>
          </w:p>
        </w:tc>
        <w:tc>
          <w:tcPr>
            <w:tcW w:w="52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Form</w:t>
            </w:r>
          </w:p>
        </w:tc>
        <w:tc>
          <w:tcPr>
            <w:tcW w:w="500" w:type="dxa"/>
            <w:vAlign w:val="bottom"/>
            <w:gridSpan w:val="2"/>
          </w:tcPr>
          <w:p>
            <w:pPr>
              <w:jc w:val="center"/>
              <w:ind w:right="60"/>
              <w:spacing w:after="0" w:line="126" w:lineRule="exact"/>
              <w:rPr>
                <w:sz w:val="20"/>
                <w:szCs w:val="20"/>
                <w:color w:val="auto"/>
              </w:rPr>
            </w:pPr>
            <w:r>
              <w:rPr>
                <w:rFonts w:ascii="Times New Roman" w:cs="Times New Roman" w:eastAsia="Times New Roman" w:hAnsi="Times New Roman"/>
                <w:sz w:val="12"/>
                <w:szCs w:val="12"/>
                <w:b w:val="1"/>
                <w:bCs w:val="1"/>
                <w:color w:val="auto"/>
              </w:rPr>
              <w:t>File</w:t>
            </w: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Effective</w:t>
            </w:r>
          </w:p>
        </w:tc>
        <w:tc>
          <w:tcPr>
            <w:tcW w:w="40" w:type="dxa"/>
            <w:vAlign w:val="bottom"/>
          </w:tcPr>
          <w:p>
            <w:pPr>
              <w:spacing w:after="0"/>
              <w:rPr>
                <w:sz w:val="10"/>
                <w:szCs w:val="10"/>
                <w:color w:val="auto"/>
              </w:rPr>
            </w:pP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w w:val="98"/>
              </w:rPr>
              <w:t>Carried</w:t>
            </w:r>
          </w:p>
        </w:tc>
        <w:tc>
          <w:tcPr>
            <w:tcW w:w="0" w:type="dxa"/>
            <w:vAlign w:val="bottom"/>
          </w:tcPr>
          <w:p>
            <w:pPr>
              <w:spacing w:after="0"/>
              <w:rPr>
                <w:sz w:val="1"/>
                <w:szCs w:val="1"/>
                <w:color w:val="auto"/>
              </w:rPr>
            </w:pPr>
          </w:p>
        </w:tc>
      </w:tr>
      <w:tr>
        <w:trPr>
          <w:trHeight w:val="148"/>
        </w:trPr>
        <w:tc>
          <w:tcPr>
            <w:tcW w:w="1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Class Title</w:t>
            </w:r>
          </w:p>
        </w:tc>
        <w:tc>
          <w:tcPr>
            <w:tcW w:w="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40" w:type="dxa"/>
            <w:vAlign w:val="bottom"/>
          </w:tcPr>
          <w:p>
            <w:pPr>
              <w:spacing w:after="0"/>
              <w:rPr>
                <w:sz w:val="12"/>
                <w:szCs w:val="12"/>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Registered</w:t>
            </w: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Unit</w:t>
            </w:r>
          </w:p>
        </w:tc>
        <w:tc>
          <w:tcPr>
            <w:tcW w:w="40" w:type="dxa"/>
            <w:vAlign w:val="bottom"/>
          </w:tcPr>
          <w:p>
            <w:pPr>
              <w:spacing w:after="0"/>
              <w:rPr>
                <w:sz w:val="12"/>
                <w:szCs w:val="12"/>
                <w:color w:val="auto"/>
              </w:rPr>
            </w:pP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Price</w:t>
            </w: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Fee</w:t>
            </w: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Type</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4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Forward</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40" w:type="dxa"/>
            <w:vAlign w:val="bottom"/>
            <w:gridSpan w:val="9"/>
          </w:tcPr>
          <w:p>
            <w:pPr>
              <w:jc w:val="center"/>
              <w:ind w:right="520"/>
              <w:spacing w:after="0"/>
              <w:rPr>
                <w:sz w:val="20"/>
                <w:szCs w:val="20"/>
                <w:color w:val="auto"/>
              </w:rPr>
            </w:pPr>
            <w:r>
              <w:rPr>
                <w:rFonts w:ascii="Times New Roman" w:cs="Times New Roman" w:eastAsia="Times New Roman" w:hAnsi="Times New Roman"/>
                <w:sz w:val="15"/>
                <w:szCs w:val="15"/>
                <w:i w:val="1"/>
                <w:iCs w:val="1"/>
                <w:color w:val="auto"/>
              </w:rPr>
              <w:t>Newly Registered Securities</w:t>
            </w: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right"/>
              <w:ind w:right="395"/>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gridSpan w:val="2"/>
          </w:tcPr>
          <w:p>
            <w:pPr>
              <w:jc w:val="right"/>
              <w:ind w:right="55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 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$0.0001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 share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Debt</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0.0001381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20"/>
                <w:szCs w:val="20"/>
                <w:color w:val="auto"/>
              </w:rPr>
            </w:pPr>
            <w:r>
              <w:rPr>
                <w:rFonts w:ascii="Times New Roman" w:cs="Times New Roman" w:eastAsia="Times New Roman" w:hAnsi="Times New Roman"/>
                <w:sz w:val="15"/>
                <w:szCs w:val="15"/>
                <w:color w:val="auto"/>
              </w:rPr>
              <w:t>Fees to be Paid</w:t>
            </w:r>
          </w:p>
        </w:tc>
        <w:tc>
          <w:tcPr>
            <w:tcW w:w="19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Unallocated (Universal) Shelf</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(1)</w:t>
            </w:r>
          </w:p>
        </w:tc>
        <w:tc>
          <w:tcPr>
            <w:tcW w:w="40" w:type="dxa"/>
            <w:vAlign w:val="bottom"/>
          </w:tcPr>
          <w:p>
            <w:pPr>
              <w:spacing w:after="0"/>
              <w:rPr>
                <w:sz w:val="17"/>
                <w:szCs w:val="17"/>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9"/>
              </w:rPr>
              <w:t>457(o)</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191,197,611.77 0.0001381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26,404.39</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gridSpan w:val="9"/>
          </w:tcPr>
          <w:p>
            <w:pPr>
              <w:jc w:val="center"/>
              <w:ind w:right="520"/>
              <w:spacing w:after="0"/>
              <w:rPr>
                <w:sz w:val="20"/>
                <w:szCs w:val="20"/>
                <w:color w:val="auto"/>
              </w:rPr>
            </w:pPr>
            <w:r>
              <w:rPr>
                <w:rFonts w:ascii="Times New Roman" w:cs="Times New Roman" w:eastAsia="Times New Roman" w:hAnsi="Times New Roman"/>
                <w:sz w:val="15"/>
                <w:szCs w:val="15"/>
                <w:i w:val="1"/>
                <w:iCs w:val="1"/>
                <w:color w:val="auto"/>
              </w:rPr>
              <w:t>Carry Forward Securities</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Common</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03/14/2025</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285614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par value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5"/>
                <w:szCs w:val="15"/>
                <w:color w:val="auto"/>
              </w:rPr>
              <w:t>$0.0001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per share</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Equity</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03/14/2025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285614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Debt</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Debt</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03/14/2025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285614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03/14/2025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285614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Other</w:t>
            </w: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w w:val="99"/>
              </w:rPr>
              <w:t>03/14/2025</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285614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6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Carry Forward Securities Unallocated (Universal) Shelf</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1"/>
              </w:rPr>
              <w:t>(2)</w:t>
            </w:r>
          </w:p>
        </w:tc>
        <w:tc>
          <w:tcPr>
            <w:tcW w:w="4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auto"/>
                <w:w w:val="98"/>
              </w:rPr>
              <w:t>415(a)(6)</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jc w:val="right"/>
              <w:ind w:right="395"/>
              <w:spacing w:after="0"/>
              <w:rPr>
                <w:sz w:val="20"/>
                <w:szCs w:val="20"/>
                <w:color w:val="auto"/>
              </w:rPr>
            </w:pPr>
            <w:r>
              <w:rPr>
                <w:rFonts w:ascii="Times New Roman" w:cs="Times New Roman" w:eastAsia="Times New Roman" w:hAnsi="Times New Roman"/>
                <w:sz w:val="15"/>
                <w:szCs w:val="15"/>
                <w:color w:val="auto"/>
                <w:w w:val="79"/>
              </w:rPr>
              <w:t>$</w:t>
            </w:r>
          </w:p>
        </w:tc>
        <w:tc>
          <w:tcPr>
            <w:tcW w:w="2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$108,802,388.23</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S-3</w:t>
            </w: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333-</w:t>
            </w:r>
          </w:p>
        </w:tc>
        <w:tc>
          <w:tcPr>
            <w:tcW w:w="40" w:type="dxa"/>
            <w:vAlign w:val="bottom"/>
          </w:tcPr>
          <w:p>
            <w:pPr>
              <w:spacing w:after="0"/>
              <w:rPr>
                <w:sz w:val="15"/>
                <w:szCs w:val="15"/>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03/14/2025 $16,657.65</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285614</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40" w:type="dxa"/>
            <w:vAlign w:val="bottom"/>
            <w:gridSpan w:val="9"/>
          </w:tcPr>
          <w:p>
            <w:pPr>
              <w:ind w:left="300"/>
              <w:spacing w:after="0"/>
              <w:rPr>
                <w:sz w:val="20"/>
                <w:szCs w:val="20"/>
                <w:color w:val="auto"/>
              </w:rPr>
            </w:pPr>
            <w:r>
              <w:rPr>
                <w:rFonts w:ascii="Times New Roman" w:cs="Times New Roman" w:eastAsia="Times New Roman" w:hAnsi="Times New Roman"/>
                <w:sz w:val="15"/>
                <w:szCs w:val="15"/>
                <w:color w:val="auto"/>
              </w:rPr>
              <w:t>Total Offering Amounts: $300,000,000.00</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26,404.39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2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Total Fees Previously Paid:</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Total Fee Offsets:</w:t>
            </w: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0.00</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Net Fee Due:</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26,404.39</w:t>
            </w: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__________________________________________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Offering Note(s)</w:t>
      </w:r>
    </w:p>
    <w:p>
      <w:pPr>
        <w:spacing w:after="0" w:line="71" w:lineRule="exact"/>
        <w:rPr>
          <w:sz w:val="20"/>
          <w:szCs w:val="20"/>
          <w:color w:val="auto"/>
        </w:rPr>
      </w:pPr>
    </w:p>
    <w:p>
      <w:pPr>
        <w:jc w:val="both"/>
        <w:ind w:left="280" w:right="80" w:hanging="237"/>
        <w:spacing w:after="0" w:line="260" w:lineRule="auto"/>
        <w:tabs>
          <w:tab w:leader="none" w:pos="28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(a)There are being registered hereunder an unspecified number of shares of common stock, preferred stock, debt securities, warrants to purchase common stock, preferred stock or debt securities of Serve Robotics Inc. (the “Registrant”), and units, consisting of one or more of the foregoing securities in any combination, as may be sold from time to time by the Registrant. Any securities registered hereunder may be sold separately or as units with other securities registered hereunder. There are also being registered hereunder an unspecified number of shares of common stock, preferred stock and debt securities as shall be issuable upon conversion, exchange or exercise of any securities that provide for such issuance. In no event will the aggregate offering price of all types of securities issued by the Registrant pursuant to this registration statement exceed $300,000,000. Pursuant to Rule 416(a) under the Securities Act of 1933, as amended (the "Securities Act"), this registration statement also covers any additional securities that may be offered or issued in connection with any stock split, stock dividend or similar transaction.</w:t>
      </w:r>
    </w:p>
    <w:p>
      <w:pPr>
        <w:spacing w:after="0" w:line="157" w:lineRule="exact"/>
        <w:rPr>
          <w:rFonts w:ascii="Times New Roman" w:cs="Times New Roman" w:eastAsia="Times New Roman" w:hAnsi="Times New Roman"/>
          <w:sz w:val="15"/>
          <w:szCs w:val="15"/>
          <w:color w:val="auto"/>
        </w:rPr>
      </w:pPr>
    </w:p>
    <w:p>
      <w:pPr>
        <w:jc w:val="both"/>
        <w:ind w:left="280" w:right="80"/>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The proposed maximum offering price per share and proposed maximum aggregate offering price for each type of security will be determined from time to time by the Registrant in connection with the issuance by the Registrant of the securities registered hereunder and is not specified as to each class of security pursuant to Instruction 2.A.iii(b) of Item 16(b) of Form S-3 under the Securities Act.</w:t>
      </w:r>
    </w:p>
    <w:p>
      <w:pPr>
        <w:spacing w:after="0" w:line="54" w:lineRule="exact"/>
        <w:rPr>
          <w:rFonts w:ascii="Times New Roman" w:cs="Times New Roman" w:eastAsia="Times New Roman" w:hAnsi="Times New Roman"/>
          <w:sz w:val="15"/>
          <w:szCs w:val="15"/>
          <w:color w:val="auto"/>
        </w:rPr>
      </w:pPr>
    </w:p>
    <w:p>
      <w:pPr>
        <w:jc w:val="both"/>
        <w:ind w:left="280" w:right="80" w:hanging="237"/>
        <w:spacing w:after="0" w:line="258" w:lineRule="auto"/>
        <w:tabs>
          <w:tab w:leader="none" w:pos="28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Rule 415(a)(6) under the Securities Act, the securities registered pursuant to this registration statement include $108,802,388.23 of unsold securities (the "Unsold Securities") previously registered pursuant to the Registration Statement on Form S-3 (File No. 333-285614), which was originally filed on March 6, 2025 and declared effective on March 14, 2025 (the "Prior Registration Statement"). The Prior Registration Statement registered securities for primary offerings in accordance with Rule 415 with a proposed maximum aggregate offering price of $300,000,000. The registrant sold an aggregate of $191,197,611.77 of such securities under the Prior Registration Statement, leaving a balance of $108,802,388.23 of Unsold Securities, in respect of which the registrant paid a filing fee of $16,657.65 (based on the filing fee rate in effect at the time of the filing of the Prior Registration Statement). The filing fee associated with the offering of the Unsold Securities is hereby carried forward to be applied to the Unsold Securities registered hereunder.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the offering of securities under the Prior Registration Statement will be deemed terminated as of the date of effectiveness of this registration statement.</w:t>
      </w:r>
    </w:p>
    <w:sectPr>
      <w:pgSz w:w="11900" w:h="16838" w:orient="portrait"/>
      <w:cols w:equalWidth="0" w:num="1">
        <w:col w:w="11340"/>
      </w:cols>
      <w:pgMar w:left="32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A0382C5"/>
    <w:multiLevelType w:val="hybridMultilevel"/>
    <w:lvl w:ilvl="0">
      <w:lvlJc w:val="left"/>
      <w:lvlText w:val="%1"/>
      <w:numFmt w:val="decimal"/>
      <w:start w:val="730"/>
    </w:lvl>
  </w:abstractNum>
  <w:abstractNum w:abstractNumId="1">
    <w:nsid w:val="8F2B15E"/>
    <w:multiLevelType w:val="hybridMultilevel"/>
    <w:lvl w:ilvl="0">
      <w:lvlJc w:val="left"/>
      <w:lvlText w:val="%1"/>
      <w:numFmt w:val="decimal"/>
      <w:start w:val="730"/>
    </w:lvl>
  </w:abstractNum>
  <w:abstractNum w:abstractNumId="2">
    <w:nsid w:val="1A32234B"/>
    <w:multiLevelType w:val="hybridMultilevel"/>
    <w:lvl w:ilvl="0">
      <w:lvlJc w:val="left"/>
      <w:lvlText w:val="●"/>
      <w:numFmt w:val="bullet"/>
      <w:start w:val="1"/>
    </w:lvl>
  </w:abstractNum>
  <w:abstractNum w:abstractNumId="3">
    <w:nsid w:val="3B0FD379"/>
    <w:multiLevelType w:val="hybridMultilevel"/>
    <w:lvl w:ilvl="0">
      <w:lvlJc w:val="left"/>
      <w:lvlText w:val="™"/>
      <w:numFmt w:val="bullet"/>
      <w:start w:val="1"/>
    </w:lvl>
  </w:abstractNum>
  <w:abstractNum w:abstractNumId="4">
    <w:nsid w:val="68EB2F63"/>
    <w:multiLevelType w:val="hybridMultilevel"/>
    <w:lvl w:ilvl="0">
      <w:lvlJc w:val="left"/>
      <w:lvlText w:val="●"/>
      <w:numFmt w:val="bullet"/>
      <w:start w:val="1"/>
    </w:lvl>
  </w:abstractNum>
  <w:abstractNum w:abstractNumId="5">
    <w:nsid w:val="4962813B"/>
    <w:multiLevelType w:val="hybridMultilevel"/>
    <w:lvl w:ilvl="0">
      <w:lvlJc w:val="left"/>
      <w:lvlText w:val="●"/>
      <w:numFmt w:val="bullet"/>
      <w:start w:val="1"/>
    </w:lvl>
  </w:abstractNum>
  <w:abstractNum w:abstractNumId="6">
    <w:nsid w:val="60B6DF70"/>
    <w:multiLevelType w:val="hybridMultilevel"/>
    <w:lvl w:ilvl="0">
      <w:lvlJc w:val="left"/>
      <w:lvlText w:val="●"/>
      <w:numFmt w:val="bullet"/>
      <w:start w:val="1"/>
    </w:lvl>
  </w:abstractNum>
  <w:abstractNum w:abstractNumId="7">
    <w:nsid w:val="6A5EE64"/>
    <w:multiLevelType w:val="hybridMultilevel"/>
    <w:lvl w:ilvl="0">
      <w:lvlJc w:val="left"/>
      <w:lvlText w:val="●"/>
      <w:numFmt w:val="bullet"/>
      <w:start w:val="1"/>
    </w:lvl>
  </w:abstractNum>
  <w:abstractNum w:abstractNumId="8">
    <w:nsid w:val="14330624"/>
    <w:multiLevelType w:val="hybridMultilevel"/>
    <w:lvl w:ilvl="0">
      <w:lvlJc w:val="left"/>
      <w:lvlText w:val="●"/>
      <w:numFmt w:val="bullet"/>
      <w:start w:val="1"/>
    </w:lvl>
  </w:abstractNum>
  <w:abstractNum w:abstractNumId="9">
    <w:nsid w:val="7FFFCA11"/>
    <w:multiLevelType w:val="hybridMultilevel"/>
    <w:lvl w:ilvl="0">
      <w:lvlJc w:val="left"/>
      <w:lvlText w:val="●"/>
      <w:numFmt w:val="bullet"/>
      <w:start w:val="1"/>
    </w:lvl>
  </w:abstractNum>
  <w:abstractNum w:abstractNumId="10">
    <w:nsid w:val="1A27709E"/>
    <w:multiLevelType w:val="hybridMultilevel"/>
    <w:lvl w:ilvl="0">
      <w:lvlJc w:val="left"/>
      <w:lvlText w:val="(%1)"/>
      <w:numFmt w:val="lowerLetter"/>
      <w:start w:val="1"/>
    </w:lvl>
  </w:abstractNum>
  <w:abstractNum w:abstractNumId="11">
    <w:nsid w:val="71EA1109"/>
    <w:multiLevelType w:val="hybridMultilevel"/>
    <w:lvl w:ilvl="0">
      <w:lvlJc w:val="left"/>
      <w:lvlText w:val="(%1)"/>
      <w:numFmt w:val="lowerLetter"/>
      <w:start w:val="1"/>
    </w:lvl>
  </w:abstractNum>
  <w:abstractNum w:abstractNumId="12">
    <w:nsid w:val="100F59DC"/>
    <w:multiLevelType w:val="hybridMultilevel"/>
    <w:lvl w:ilvl="0">
      <w:lvlJc w:val="left"/>
      <w:lvlText w:val="(%1)"/>
      <w:numFmt w:val="lowerLetter"/>
      <w:start w:val="5"/>
    </w:lvl>
  </w:abstractNum>
  <w:abstractNum w:abstractNumId="13">
    <w:nsid w:val="7FB7E0AA"/>
    <w:multiLevelType w:val="hybridMultilevel"/>
    <w:lvl w:ilvl="0">
      <w:lvlJc w:val="left"/>
      <w:lvlText w:val="(%1)"/>
      <w:numFmt w:val="lowerLetter"/>
      <w:start w:val="1"/>
    </w:lvl>
  </w:abstractNum>
  <w:abstractNum w:abstractNumId="14">
    <w:nsid w:val="6EB5BD4"/>
    <w:multiLevelType w:val="hybridMultilevel"/>
    <w:lvl w:ilvl="0">
      <w:lvlJc w:val="left"/>
      <w:lvlText w:val="(%1)"/>
      <w:numFmt w:val="lowerLetter"/>
      <w:start w:val="3"/>
    </w:lvl>
  </w:abstractNum>
  <w:abstractNum w:abstractNumId="15">
    <w:nsid w:val="6F6DD9AC"/>
    <w:multiLevelType w:val="hybridMultilevel"/>
    <w:lvl w:ilvl="0">
      <w:lvlJc w:val="left"/>
      <w:lvlText w:val="(%1)"/>
      <w:numFmt w:val="lowerLetter"/>
      <w:start w:val="1"/>
    </w:lvl>
    <w:lvl w:ilvl="1">
      <w:lvlJc w:val="left"/>
      <w:lvlText w:val="%2."/>
      <w:numFmt w:val="lowerRoman"/>
      <w:start w:val="1"/>
    </w:lvl>
  </w:abstractNum>
  <w:abstractNum w:abstractNumId="16">
    <w:nsid w:val="94211F2"/>
    <w:multiLevelType w:val="hybridMultilevel"/>
    <w:lvl w:ilvl="0">
      <w:lvlJc w:val="left"/>
      <w:lvlText w:val="(%1)"/>
      <w:numFmt w:val="lowerLetter"/>
      <w:start w:val="1"/>
    </w:lvl>
  </w:abstractNum>
  <w:abstractNum w:abstractNumId="17">
    <w:nsid w:val="885E1B"/>
    <w:multiLevelType w:val="hybridMultilevel"/>
    <w:lvl w:ilvl="0">
      <w:lvlJc w:val="left"/>
      <w:lvlText w:val="(%1)"/>
      <w:numFmt w:val="lowerLetter"/>
      <w:start w:val="2"/>
    </w:lvl>
  </w:abstractNum>
  <w:abstractNum w:abstractNumId="18">
    <w:nsid w:val="76272110"/>
    <w:multiLevelType w:val="hybridMultilevel"/>
    <w:lvl w:ilvl="0">
      <w:lvlJc w:val="left"/>
      <w:lvlText w:val="(%1)"/>
      <w:numFmt w:val="lowerLetter"/>
      <w:start w:val="1"/>
    </w:lvl>
  </w:abstractNum>
  <w:abstractNum w:abstractNumId="19">
    <w:nsid w:val="4C04A8AF"/>
    <w:multiLevelType w:val="hybridMultilevel"/>
    <w:lvl w:ilvl="0">
      <w:lvlJc w:val="left"/>
      <w:lvlText w:val="●"/>
      <w:numFmt w:val="bullet"/>
      <w:start w:val="1"/>
    </w:lvl>
  </w:abstractNum>
  <w:abstractNum w:abstractNumId="20">
    <w:nsid w:val="1716703B"/>
    <w:multiLevelType w:val="hybridMultilevel"/>
    <w:lvl w:ilvl="0">
      <w:lvlJc w:val="left"/>
      <w:lvlText w:val="●"/>
      <w:numFmt w:val="bullet"/>
      <w:start w:val="1"/>
    </w:lvl>
  </w:abstractNum>
  <w:abstractNum w:abstractNumId="21">
    <w:nsid w:val="14E17E33"/>
    <w:multiLevelType w:val="hybridMultilevel"/>
    <w:lvl w:ilvl="0">
      <w:lvlJc w:val="left"/>
      <w:lvlText w:val="●"/>
      <w:numFmt w:val="bullet"/>
      <w:start w:val="1"/>
    </w:lvl>
  </w:abstractNum>
  <w:abstractNum w:abstractNumId="22">
    <w:nsid w:val="3222E7CD"/>
    <w:multiLevelType w:val="hybridMultilevel"/>
    <w:lvl w:ilvl="0">
      <w:lvlJc w:val="left"/>
      <w:lvlText w:val="●"/>
      <w:numFmt w:val="bullet"/>
      <w:start w:val="1"/>
    </w:lvl>
  </w:abstractNum>
  <w:abstractNum w:abstractNumId="23">
    <w:nsid w:val="74DE0EE3"/>
    <w:multiLevelType w:val="hybridMultilevel"/>
    <w:lvl w:ilvl="0">
      <w:lvlJc w:val="left"/>
      <w:lvlText w:val="●"/>
      <w:numFmt w:val="bullet"/>
      <w:start w:val="1"/>
    </w:lvl>
  </w:abstractNum>
  <w:abstractNum w:abstractNumId="24">
    <w:nsid w:val="68EBC550"/>
    <w:multiLevelType w:val="hybridMultilevel"/>
    <w:lvl w:ilvl="0">
      <w:lvlJc w:val="left"/>
      <w:lvlText w:val="●"/>
      <w:numFmt w:val="bullet"/>
      <w:start w:val="1"/>
    </w:lvl>
  </w:abstractNum>
  <w:abstractNum w:abstractNumId="25">
    <w:nsid w:val="2DF6D648"/>
    <w:multiLevelType w:val="hybridMultilevel"/>
    <w:lvl w:ilvl="0">
      <w:lvlJc w:val="left"/>
      <w:lvlText w:val="%1"/>
      <w:numFmt w:val="decimal"/>
      <w:start w:val="730"/>
    </w:lvl>
  </w:abstractNum>
  <w:abstractNum w:abstractNumId="26">
    <w:nsid w:val="46B7D447"/>
    <w:multiLevelType w:val="hybridMultilevel"/>
    <w:lvl w:ilvl="0">
      <w:lvlJc w:val="left"/>
      <w:lvlText w:val="●"/>
      <w:numFmt w:val="bullet"/>
      <w:start w:val="1"/>
    </w:lvl>
  </w:abstractNum>
  <w:abstractNum w:abstractNumId="27">
    <w:nsid w:val="4A2AC315"/>
    <w:multiLevelType w:val="hybridMultilevel"/>
    <w:lvl w:ilvl="0">
      <w:lvlJc w:val="left"/>
      <w:lvlText w:val="%1"/>
      <w:numFmt w:val="decimal"/>
      <w:start w:val="730"/>
    </w:lvl>
  </w:abstractNum>
  <w:abstractNum w:abstractNumId="28">
    <w:nsid w:val="39EE015C"/>
    <w:multiLevelType w:val="hybridMultilevel"/>
    <w:lvl w:ilvl="0">
      <w:lvlJc w:val="left"/>
      <w:lvlText w:val="●"/>
      <w:numFmt w:val="bullet"/>
      <w:start w:val="1"/>
    </w:lvl>
  </w:abstractNum>
  <w:abstractNum w:abstractNumId="29">
    <w:nsid w:val="57FC4FBB"/>
    <w:multiLevelType w:val="hybridMultilevel"/>
    <w:lvl w:ilvl="0">
      <w:lvlJc w:val="left"/>
      <w:lvlText w:val="●"/>
      <w:numFmt w:val="bullet"/>
      <w:start w:val="1"/>
    </w:lvl>
  </w:abstractNum>
  <w:abstractNum w:abstractNumId="30">
    <w:nsid w:val="CC1016F"/>
    <w:multiLevelType w:val="hybridMultilevel"/>
    <w:lvl w:ilvl="0">
      <w:lvlJc w:val="left"/>
      <w:lvlText w:val="●"/>
      <w:numFmt w:val="bullet"/>
      <w:start w:val="1"/>
    </w:lvl>
  </w:abstractNum>
  <w:abstractNum w:abstractNumId="31">
    <w:nsid w:val="43F18422"/>
    <w:multiLevelType w:val="hybridMultilevel"/>
    <w:lvl w:ilvl="0">
      <w:lvlJc w:val="left"/>
      <w:lvlText w:val="●"/>
      <w:numFmt w:val="bullet"/>
      <w:start w:val="1"/>
    </w:lvl>
  </w:abstractNum>
  <w:abstractNum w:abstractNumId="32">
    <w:nsid w:val="60EF0119"/>
    <w:multiLevelType w:val="hybridMultilevel"/>
    <w:lvl w:ilvl="0">
      <w:lvlJc w:val="left"/>
      <w:lvlText w:val="●"/>
      <w:numFmt w:val="bullet"/>
      <w:start w:val="1"/>
    </w:lvl>
  </w:abstractNum>
  <w:abstractNum w:abstractNumId="33">
    <w:nsid w:val="26F324BA"/>
    <w:multiLevelType w:val="hybridMultilevel"/>
    <w:lvl w:ilvl="0">
      <w:lvlJc w:val="left"/>
      <w:lvlText w:val="●"/>
      <w:numFmt w:val="bullet"/>
      <w:start w:val="1"/>
    </w:lvl>
  </w:abstractNum>
  <w:abstractNum w:abstractNumId="34">
    <w:nsid w:val="7F01579B"/>
    <w:multiLevelType w:val="hybridMultilevel"/>
    <w:lvl w:ilvl="0">
      <w:lvlJc w:val="left"/>
      <w:lvlText w:val="*"/>
      <w:numFmt w:val="bullet"/>
      <w:start w:val="1"/>
    </w:lvl>
  </w:abstractNum>
  <w:abstractNum w:abstractNumId="35">
    <w:nsid w:val="49DA307D"/>
    <w:multiLevelType w:val="hybridMultilevel"/>
    <w:lvl w:ilvl="0">
      <w:lvlJc w:val="left"/>
      <w:lvlText w:val="●"/>
      <w:numFmt w:val="bullet"/>
      <w:start w:val="1"/>
    </w:lvl>
  </w:abstractNum>
  <w:abstractNum w:abstractNumId="36">
    <w:nsid w:val="7055A5F5"/>
    <w:multiLevelType w:val="hybridMultilevel"/>
    <w:lvl w:ilvl="0">
      <w:lvlJc w:val="left"/>
      <w:lvlText w:val="(%1)"/>
      <w:numFmt w:val="lowerLetter"/>
      <w:start w:val="1"/>
    </w:lvl>
  </w:abstractNum>
  <w:abstractNum w:abstractNumId="37">
    <w:nsid w:val="5FB8370B"/>
    <w:multiLevelType w:val="hybridMultilevel"/>
    <w:lvl w:ilvl="0">
      <w:lvlJc w:val="left"/>
      <w:lvlText w:val="%1"/>
      <w:numFmt w:val="decimal"/>
      <w:start w:val="107"/>
    </w:lvl>
  </w:abstractNum>
  <w:abstractNum w:abstractNumId="38">
    <w:nsid w:val="50801EE1"/>
    <w:multiLevelType w:val="hybridMultilevel"/>
    <w:lvl w:ilvl="0">
      <w:lvlJc w:val="left"/>
      <w:lvlText w:val="*"/>
      <w:numFmt w:val="bullet"/>
      <w:start w:val="1"/>
    </w:lvl>
  </w:abstractNum>
  <w:abstractNum w:abstractNumId="39">
    <w:nsid w:val="488AC1A"/>
    <w:multiLevelType w:val="hybridMultilevel"/>
    <w:lvl w:ilvl="0">
      <w:lvlJc w:val="left"/>
      <w:lvlText w:val="§"/>
      <w:numFmt w:val="bullet"/>
      <w:start w:val="1"/>
    </w:lvl>
  </w:abstractNum>
  <w:abstractNum w:abstractNumId="40">
    <w:nsid w:val="5FB8011C"/>
    <w:multiLevelType w:val="hybridMultilevel"/>
    <w:lvl w:ilvl="0">
      <w:lvlJc w:val="left"/>
      <w:lvlText w:val="†"/>
      <w:numFmt w:val="bullet"/>
      <w:start w:val="1"/>
    </w:lvl>
  </w:abstractNum>
  <w:abstractNum w:abstractNumId="41">
    <w:nsid w:val="6AA78F7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2">
    <w:nsid w:val="7672BD23"/>
    <w:multiLevelType w:val="hybridMultilevel"/>
    <w:lvl w:ilvl="0">
      <w:lvlJc w:val="left"/>
      <w:lvlText w:val="(%1)"/>
      <w:numFmt w:val="decimal"/>
      <w:start w:val="2"/>
    </w:lvl>
    <w:lvl w:ilvl="1">
      <w:lvlJc w:val="left"/>
      <w:lvlText w:val="(%2)"/>
      <w:numFmt w:val="lowerRoman"/>
      <w:start w:val="1"/>
    </w:lvl>
  </w:abstractNum>
  <w:abstractNum w:abstractNumId="43">
    <w:nsid w:val="6FC75AF8"/>
    <w:multiLevelType w:val="hybridMultilevel"/>
    <w:lvl w:ilvl="0">
      <w:lvlJc w:val="left"/>
      <w:lvlText w:val="(%1)"/>
      <w:numFmt w:val="decimal"/>
      <w:start w:val="5"/>
    </w:lvl>
    <w:lvl w:ilvl="1">
      <w:lvlJc w:val="left"/>
      <w:lvlText w:val="(%2)"/>
      <w:numFmt w:val="lowerRoman"/>
      <w:start w:val="1"/>
    </w:lvl>
  </w:abstractNum>
  <w:abstractNum w:abstractNumId="44">
    <w:nsid w:val="6A5F7029"/>
    <w:multiLevelType w:val="hybridMultilevel"/>
    <w:lvl w:ilvl="0">
      <w:lvlJc w:val="left"/>
      <w:lvlText w:val="%1."/>
      <w:numFmt w:val="decimal"/>
      <w:start w:val="1"/>
    </w:lvl>
  </w:abstractNum>
  <w:abstractNum w:abstractNumId="45">
    <w:nsid w:val="7D5E18F8"/>
    <w:multiLevelType w:val="hybridMultilevel"/>
    <w:lvl w:ilvl="0">
      <w:lvlJc w:val="left"/>
      <w:lvlText w:val="%1."/>
      <w:numFmt w:val="decimal"/>
      <w:start w:val="2"/>
    </w:lvl>
  </w:abstractNum>
  <w:abstractNum w:abstractNumId="46">
    <w:nsid w:val="5F3534A4"/>
    <w:multiLevelType w:val="hybridMultilevel"/>
    <w:lvl w:ilvl="0">
      <w:lvlJc w:val="left"/>
      <w:lvlText w:val="%1."/>
      <w:numFmt w:val="decimal"/>
      <w:start w:val="3"/>
    </w:lvl>
    <w:lvl w:ilvl="1">
      <w:lvlJc w:val="left"/>
      <w:lvlText w:val="(%2)"/>
      <w:numFmt w:val="lowerLetter"/>
      <w:start w:val="1"/>
    </w:lvl>
  </w:abstractNum>
  <w:abstractNum w:abstractNumId="47">
    <w:nsid w:val="73A1821B"/>
    <w:multiLevelType w:val="hybridMultilevel"/>
    <w:lvl w:ilvl="0">
      <w:lvlJc w:val="left"/>
      <w:lvlText w:val="(%1)"/>
      <w:numFmt w:val="lowerLetter"/>
      <w:start w:val="2"/>
    </w:lvl>
  </w:abstractNum>
  <w:abstractNum w:abstractNumId="48">
    <w:nsid w:val="7DE67713"/>
    <w:multiLevelType w:val="hybridMultilevel"/>
    <w:lvl w:ilvl="0">
      <w:lvlJc w:val="left"/>
      <w:lvlText w:val="%1."/>
      <w:numFmt w:val="decimal"/>
      <w:start w:val="6"/>
    </w:lvl>
    <w:lvl w:ilvl="1">
      <w:lvlJc w:val="left"/>
      <w:lvlText w:val="(%2)"/>
      <w:numFmt w:val="lowerLetter"/>
      <w:start w:val="1"/>
    </w:lvl>
  </w:abstractNum>
  <w:abstractNum w:abstractNumId="49">
    <w:nsid w:val="555C55B5"/>
    <w:multiLevelType w:val="hybridMultilevel"/>
    <w:lvl w:ilvl="0">
      <w:lvlJc w:val="left"/>
      <w:lvlText w:val="(%1)"/>
      <w:numFmt w:val="lowerLetter"/>
      <w:start w:val="4"/>
    </w:lvl>
  </w:abstractNum>
  <w:abstractNum w:abstractNumId="50">
    <w:nsid w:val="3FA62ACA"/>
    <w:multiLevelType w:val="hybridMultilevel"/>
    <w:lvl w:ilvl="0">
      <w:lvlJc w:val="left"/>
      <w:lvlText w:val="(%1)"/>
      <w:numFmt w:val="lowerLetter"/>
      <w:start w:val="7"/>
    </w:lvl>
  </w:abstractNum>
  <w:abstractNum w:abstractNumId="51">
    <w:nsid w:val="14FCE74E"/>
    <w:multiLevelType w:val="hybridMultilevel"/>
    <w:lvl w:ilvl="0">
      <w:lvlJc w:val="left"/>
      <w:lvlText w:val="%1"/>
      <w:numFmt w:val="lowerLetter"/>
      <w:start w:val="1"/>
    </w:lvl>
    <w:lvl w:ilvl="1">
      <w:lvlJc w:val="left"/>
      <w:lvlText w:val="(%2)"/>
      <w:numFmt w:val="lowerLetter"/>
      <w:start w:val="12"/>
    </w:lvl>
  </w:abstractNum>
  <w:abstractNum w:abstractNumId="52">
    <w:nsid w:val="6A3DD3E8"/>
    <w:multiLevelType w:val="hybridMultilevel"/>
    <w:lvl w:ilvl="0">
      <w:lvlJc w:val="left"/>
      <w:lvlText w:val="(%1)"/>
      <w:numFmt w:val="lowerLetter"/>
      <w:start w:val="61"/>
    </w:lvl>
    <w:lvl w:ilvl="1">
      <w:lvlJc w:val="left"/>
      <w:lvlText w:val="(%2)"/>
      <w:numFmt w:val="lowerLetter"/>
      <w:start w:val="17"/>
    </w:lvl>
  </w:abstractNum>
  <w:abstractNum w:abstractNumId="53">
    <w:nsid w:val="71C91298"/>
    <w:multiLevelType w:val="hybridMultilevel"/>
    <w:lvl w:ilvl="0">
      <w:lvlJc w:val="left"/>
      <w:lvlText w:val="(%1)"/>
      <w:numFmt w:val="lowerLetter"/>
      <w:start w:val="18"/>
    </w:lvl>
  </w:abstractNum>
  <w:abstractNum w:abstractNumId="54">
    <w:nsid w:val="9DAF632"/>
    <w:multiLevelType w:val="hybridMultilevel"/>
    <w:lvl w:ilvl="0">
      <w:lvlJc w:val="left"/>
      <w:lvlText w:val="(%1)"/>
      <w:numFmt w:val="lowerLetter"/>
      <w:start w:val="23"/>
    </w:lvl>
  </w:abstractNum>
  <w:abstractNum w:abstractNumId="55">
    <w:nsid w:val="53299938"/>
    <w:multiLevelType w:val="hybridMultilevel"/>
    <w:lvl w:ilvl="0">
      <w:lvlJc w:val="left"/>
      <w:lvlText w:val="(%1)"/>
      <w:numFmt w:val="lowerLetter"/>
      <w:start w:val="27"/>
    </w:lvl>
  </w:abstractNum>
  <w:abstractNum w:abstractNumId="56">
    <w:nsid w:val="1FBFE8E0"/>
    <w:multiLevelType w:val="hybridMultilevel"/>
    <w:lvl w:ilvl="0">
      <w:lvlJc w:val="left"/>
      <w:lvlText w:val="(%1)"/>
      <w:numFmt w:val="lowerLetter"/>
      <w:start w:val="32"/>
    </w:lvl>
  </w:abstractNum>
  <w:abstractNum w:abstractNumId="57">
    <w:nsid w:val="5092CA79"/>
    <w:multiLevelType w:val="hybridMultilevel"/>
    <w:lvl w:ilvl="0">
      <w:lvlJc w:val="left"/>
      <w:lvlText w:val="(%1)"/>
      <w:numFmt w:val="lowerLetter"/>
      <w:start w:val="35"/>
    </w:lvl>
  </w:abstractNum>
  <w:abstractNum w:abstractNumId="58">
    <w:nsid w:val="1D545C4D"/>
    <w:multiLevelType w:val="hybridMultilevel"/>
    <w:lvl w:ilvl="0">
      <w:lvlJc w:val="left"/>
      <w:lvlText w:val="(%1)"/>
      <w:numFmt w:val="lowerLetter"/>
      <w:start w:val="39"/>
    </w:lvl>
  </w:abstractNum>
  <w:abstractNum w:abstractNumId="59">
    <w:nsid w:val="59ADEA3D"/>
    <w:multiLevelType w:val="hybridMultilevel"/>
    <w:lvl w:ilvl="0">
      <w:lvlJc w:val="left"/>
      <w:lvlText w:val="(%1)"/>
      <w:numFmt w:val="lowerLetter"/>
      <w:start w:val="46"/>
    </w:lvl>
  </w:abstractNum>
  <w:abstractNum w:abstractNumId="60">
    <w:nsid w:val="288F1A34"/>
    <w:multiLevelType w:val="hybridMultilevel"/>
    <w:lvl w:ilvl="0">
      <w:lvlJc w:val="left"/>
      <w:lvlText w:val="(%1)"/>
      <w:numFmt w:val="lowerLetter"/>
      <w:start w:val="49"/>
    </w:lvl>
  </w:abstractNum>
  <w:abstractNum w:abstractNumId="61">
    <w:nsid w:val="2A155DBC"/>
    <w:multiLevelType w:val="hybridMultilevel"/>
    <w:lvl w:ilvl="0">
      <w:lvlJc w:val="left"/>
      <w:lvlText w:val="(%1)"/>
      <w:numFmt w:val="lowerLetter"/>
      <w:start w:val="53"/>
    </w:lvl>
  </w:abstractNum>
  <w:abstractNum w:abstractNumId="62">
    <w:nsid w:val="1D9F6E5F"/>
    <w:multiLevelType w:val="hybridMultilevel"/>
    <w:lvl w:ilvl="0">
      <w:lvlJc w:val="left"/>
      <w:lvlText w:val="(%1)"/>
      <w:numFmt w:val="lowerLetter"/>
      <w:start w:val="58"/>
    </w:lvl>
  </w:abstractNum>
  <w:abstractNum w:abstractNumId="63">
    <w:nsid w:val="97E1B4E"/>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64">
    <w:nsid w:val="5108827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5">
    <w:nsid w:val="1CA0C5FA"/>
    <w:multiLevelType w:val="hybridMultilevel"/>
    <w:lvl w:ilvl="0">
      <w:lvlJc w:val="left"/>
      <w:lvlText w:val="(%1)"/>
      <w:numFmt w:val="lowerLetter"/>
      <w:start w:val="2"/>
    </w:lvl>
  </w:abstractNum>
  <w:abstractNum w:abstractNumId="66">
    <w:nsid w:val="53584BCB"/>
    <w:multiLevelType w:val="hybridMultilevel"/>
    <w:lvl w:ilvl="0">
      <w:lvlJc w:val="left"/>
      <w:lvlText w:val="(%1)"/>
      <w:numFmt w:val="lowerLetter"/>
      <w:start w:val="7"/>
    </w:lvl>
  </w:abstractNum>
  <w:abstractNum w:abstractNumId="67">
    <w:nsid w:val="415E286C"/>
    <w:multiLevelType w:val="hybridMultilevel"/>
    <w:lvl w:ilvl="0">
      <w:lvlJc w:val="left"/>
      <w:lvlText w:val="(%1)"/>
      <w:numFmt w:val="lowerLetter"/>
      <w:start w:val="9"/>
    </w:lvl>
  </w:abstractNum>
  <w:abstractNum w:abstractNumId="68">
    <w:nsid w:val="7C58FD05"/>
    <w:multiLevelType w:val="hybridMultilevel"/>
    <w:lvl w:ilvl="0">
      <w:lvlJc w:val="left"/>
      <w:lvlText w:val="%1"/>
      <w:numFmt w:val="lowerRoman"/>
      <w:start w:val="1"/>
    </w:lvl>
    <w:lvl w:ilvl="1">
      <w:lvlJc w:val="left"/>
      <w:lvlText w:val="(%2)"/>
      <w:numFmt w:val="lowerLetter"/>
      <w:start w:val="12"/>
    </w:lvl>
  </w:abstractNum>
  <w:abstractNum w:abstractNumId="69">
    <w:nsid w:val="23D86AAC"/>
    <w:multiLevelType w:val="hybridMultilevel"/>
    <w:lvl w:ilvl="0">
      <w:lvlJc w:val="left"/>
      <w:lvlText w:val="(%1)"/>
      <w:numFmt w:val="lowerRoman"/>
      <w:start w:val="1"/>
    </w:lvl>
    <w:lvl w:ilvl="1">
      <w:lvlJc w:val="left"/>
      <w:lvlText w:val="%2"/>
      <w:numFmt w:val="lowerLetter"/>
      <w:start w:val="1"/>
    </w:lvl>
  </w:abstractNum>
  <w:abstractNum w:abstractNumId="70">
    <w:nsid w:val="45E6D486"/>
    <w:multiLevelType w:val="hybridMultilevel"/>
    <w:lvl w:ilvl="0">
      <w:lvlJc w:val="left"/>
      <w:lvlText w:val="(%1)"/>
      <w:numFmt w:val="lowerLetter"/>
      <w:start w:val="13"/>
    </w:lvl>
  </w:abstractNum>
  <w:abstractNum w:abstractNumId="71">
    <w:nsid w:val="5C10FE21"/>
    <w:multiLevelType w:val="hybridMultilevel"/>
    <w:lvl w:ilvl="0">
      <w:lvlJc w:val="left"/>
      <w:lvlText w:val="%1"/>
      <w:numFmt w:val="lowerLetter"/>
      <w:start w:val="1"/>
    </w:lvl>
    <w:lvl w:ilvl="1">
      <w:lvlJc w:val="left"/>
      <w:lvlText w:val="(%2)"/>
      <w:numFmt w:val="lowerLetter"/>
      <w:start w:val="14"/>
    </w:lvl>
  </w:abstractNum>
  <w:abstractNum w:abstractNumId="72">
    <w:nsid w:val="E7FFA2B"/>
    <w:multiLevelType w:val="hybridMultilevel"/>
    <w:lvl w:ilvl="0">
      <w:lvlJc w:val="left"/>
      <w:lvlText w:val="(%1)"/>
      <w:numFmt w:val="lowerLetter"/>
      <w:start w:val="9"/>
    </w:lvl>
    <w:lvl w:ilvl="1">
      <w:lvlJc w:val="left"/>
      <w:lvlText w:val="(%2)"/>
      <w:numFmt w:val="lowerLetter"/>
      <w:start w:val="15"/>
    </w:lvl>
  </w:abstractNum>
  <w:abstractNum w:abstractNumId="73">
    <w:nsid w:val="3C5991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9"/>
    </w:lvl>
  </w:abstractNum>
  <w:abstractNum w:abstractNumId="74">
    <w:nsid w:val="4BD8591A"/>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75">
    <w:nsid w:val="78DF6A5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6">
    <w:nsid w:val="39B7AAA2"/>
    <w:multiLevelType w:val="hybridMultilevel"/>
    <w:lvl w:ilvl="0">
      <w:lvlJc w:val="left"/>
      <w:lvlText w:val="%1."/>
      <w:numFmt w:val="decimal"/>
      <w:start w:val="9"/>
    </w:lvl>
    <w:lvl w:ilvl="1">
      <w:lvlJc w:val="left"/>
      <w:lvlText w:val="(%2)"/>
      <w:numFmt w:val="lowerLetter"/>
      <w:start w:val="1"/>
    </w:lvl>
  </w:abstractNum>
  <w:abstractNum w:abstractNumId="77">
    <w:nsid w:val="2B0D8DBE"/>
    <w:multiLevelType w:val="hybridMultilevel"/>
    <w:lvl w:ilvl="0">
      <w:lvlJc w:val="left"/>
      <w:lvlText w:val="(%1)"/>
      <w:numFmt w:val="lowerLetter"/>
      <w:start w:val="5"/>
    </w:lvl>
  </w:abstractNum>
  <w:abstractNum w:abstractNumId="78">
    <w:nsid w:val="6C80EC7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79">
    <w:nsid w:val="379E21B5"/>
    <w:multiLevelType w:val="hybridMultilevel"/>
    <w:lvl w:ilvl="0">
      <w:lvlJc w:val="left"/>
      <w:lvlText w:val="(%1)"/>
      <w:numFmt w:val="lowerLetter"/>
      <w:start w:val="2"/>
    </w:lvl>
  </w:abstractNum>
  <w:abstractNum w:abstractNumId="80">
    <w:nsid w:val="69E373"/>
    <w:multiLevelType w:val="hybridMultilevel"/>
    <w:lvl w:ilvl="0">
      <w:lvlJc w:val="left"/>
      <w:lvlText w:val="(%1)"/>
      <w:numFmt w:val="lowerLetter"/>
      <w:start w:val="3"/>
    </w:lvl>
  </w:abstractNum>
  <w:abstractNum w:abstractNumId="81">
    <w:nsid w:val="2C2717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82">
    <w:nsid w:val="4C9B0904"/>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83">
    <w:nsid w:val="6AA7B75C"/>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abstractNum>
  <w:abstractNum w:abstractNumId="84">
    <w:nsid w:val="1DF029D3"/>
    <w:multiLevelType w:val="hybridMultilevel"/>
    <w:lvl w:ilvl="0">
      <w:lvlJc w:val="left"/>
      <w:lvlText w:val="%1"/>
      <w:numFmt w:val="decimal"/>
      <w:start w:val="1"/>
    </w:lvl>
    <w:lvl w:ilvl="1">
      <w:lvlJc w:val="left"/>
      <w:lvlText w:val="(%2)"/>
      <w:numFmt w:val="lowerLetter"/>
      <w:start w:val="2"/>
    </w:lvl>
  </w:abstractNum>
  <w:abstractNum w:abstractNumId="85">
    <w:nsid w:val="5675FF36"/>
    <w:multiLevelType w:val="hybridMultilevel"/>
    <w:lvl w:ilvl="0">
      <w:lvlJc w:val="left"/>
      <w:lvlText w:val="%1."/>
      <w:numFmt w:val="decimal"/>
      <w:start w:val="13"/>
    </w:lvl>
    <w:lvl w:ilvl="1">
      <w:lvlJc w:val="left"/>
      <w:lvlText w:val="%2"/>
      <w:numFmt w:val="lowerLetter"/>
      <w:start w:val="1"/>
    </w:lvl>
  </w:abstractNum>
  <w:abstractNum w:abstractNumId="86">
    <w:nsid w:val="3DD15094"/>
    <w:multiLevelType w:val="hybridMultilevel"/>
    <w:lvl w:ilvl="0">
      <w:lvlJc w:val="left"/>
      <w:lvlText w:val="%1."/>
      <w:numFmt w:val="decimal"/>
      <w:start w:val="14"/>
    </w:lvl>
  </w:abstractNum>
  <w:abstractNum w:abstractNumId="87">
    <w:nsid w:val="3DB012B3"/>
    <w:multiLevelType w:val="hybridMultilevel"/>
    <w:lvl w:ilvl="0">
      <w:lvlJc w:val="left"/>
      <w:lvlText w:val="%1."/>
      <w:numFmt w:val="decimal"/>
      <w:start w:val="19"/>
    </w:lvl>
    <w:lvl w:ilvl="1">
      <w:lvlJc w:val="left"/>
      <w:lvlText w:val="(%2)"/>
      <w:numFmt w:val="lowerLetter"/>
      <w:start w:val="1"/>
    </w:lvl>
  </w:abstractNum>
  <w:abstractNum w:abstractNumId="88">
    <w:nsid w:val="2708C9AF"/>
    <w:multiLevelType w:val="hybridMultilevel"/>
    <w:lvl w:ilvl="0">
      <w:lvlJc w:val="left"/>
      <w:lvlText w:val="(%1)"/>
      <w:numFmt w:val="decimal"/>
      <w:start w:val="1"/>
    </w:lvl>
  </w:abstractNum>
  <w:abstractNum w:abstractNumId="89">
    <w:nsid w:val="5B25ACE2"/>
    <w:multiLevelType w:val="hybridMultilevel"/>
    <w:lvl w:ilvl="0">
      <w:lvlJc w:val="left"/>
      <w:lvlText w:val="(%1)"/>
      <w:numFmt w:val="decimal"/>
      <w:start w:val="6"/>
    </w:lvl>
  </w:abstractNum>
  <w:abstractNum w:abstractNumId="90">
    <w:nsid w:val="175DFCF0"/>
    <w:multiLevelType w:val="hybridMultilevel"/>
    <w:lvl w:ilvl="0">
      <w:lvlJc w:val="left"/>
      <w:lvlText w:val="(%1)"/>
      <w:numFmt w:val="decimal"/>
      <w:start w:val="1"/>
    </w:lvl>
  </w:abstractNum>
  <w:abstractNum w:abstractNumId="91">
    <w:nsid w:val="4F97E3E4"/>
    <w:multiLevelType w:val="hybridMultilevel"/>
    <w:lvl w:ilvl="0">
      <w:lvlJc w:val="left"/>
      <w:lvlText w:val="(%1)"/>
      <w:numFmt w:val="decimal"/>
      <w:start w:val="2"/>
    </w:lvl>
  </w:abstractNum>
  <w:abstractNum w:abstractNumId="92">
    <w:nsid w:val="53B0A9E"/>
    <w:multiLevelType w:val="hybridMultilevel"/>
    <w:lvl w:ilvl="0">
      <w:lvlJc w:val="left"/>
      <w:lvlText w:val="(%1)"/>
      <w:numFmt w:val="decimal"/>
      <w:start w:val="1"/>
    </w:lvl>
  </w:abstractNum>
  <w:abstractNum w:abstractNumId="93">
    <w:nsid w:val="34FD6B4F"/>
    <w:multiLevelType w:val="hybridMultilevel"/>
    <w:lvl w:ilvl="0">
      <w:lvlJc w:val="left"/>
      <w:lvlText w:val="(%1)"/>
      <w:numFmt w:val="decimal"/>
      <w:start w:val="1"/>
    </w:lvl>
  </w:abstractNum>
  <w:abstractNum w:abstractNumId="94">
    <w:nsid w:val="5915FF32"/>
    <w:multiLevelType w:val="hybridMultilevel"/>
    <w:lvl w:ilvl="0">
      <w:lvlJc w:val="left"/>
      <w:lvlText w:val="(%1)"/>
      <w:numFmt w:val="decimal"/>
      <w:start w:val="1"/>
    </w:lvl>
  </w:abstractNum>
  <w:abstractNum w:abstractNumId="95">
    <w:nsid w:val="56438D15"/>
    <w:multiLevelType w:val="hybridMultilevel"/>
    <w:lvl w:ilvl="0">
      <w:lvlJc w:val="left"/>
      <w:lvlText w:val="(%1)"/>
      <w:numFmt w:val="decimal"/>
      <w:start w:val="2"/>
    </w:lvl>
  </w:abstractNum>
  <w:abstractNum w:abstractNumId="96">
    <w:nsid w:val="519E3149"/>
    <w:multiLevelType w:val="hybridMultilevel"/>
    <w:lvl w:ilvl="0">
      <w:lvlJc w:val="left"/>
      <w:lvlText w:val="(%1)"/>
      <w:numFmt w:val="decimal"/>
      <w:start w:val="5"/>
    </w:lvl>
  </w:abstractNum>
  <w:abstractNum w:abstractNumId="97">
    <w:nsid w:val="2C6E4AFD"/>
    <w:multiLevelType w:val="hybridMultilevel"/>
    <w:lvl w:ilvl="0">
      <w:lvlJc w:val="left"/>
      <w:lvlText w:val="(%1)"/>
      <w:numFmt w:val="decimal"/>
      <w:start w:val="1"/>
    </w:lvl>
  </w:abstractNum>
  <w:abstractNum w:abstractNumId="98">
    <w:nsid w:val="17A1B582"/>
    <w:multiLevelType w:val="hybridMultilevel"/>
    <w:lvl w:ilvl="0">
      <w:lvlJc w:val="left"/>
      <w:lvlText w:val="(%1)"/>
      <w:numFmt w:val="lowerLetter"/>
      <w:start w:val="1"/>
    </w:lvl>
  </w:abstractNum>
  <w:abstractNum w:abstractNumId="99">
    <w:nsid w:val="4DF72E4E"/>
    <w:multiLevelType w:val="hybridMultilevel"/>
    <w:lvl w:ilvl="0">
      <w:lvlJc w:val="left"/>
      <w:lvlText w:val="(%1)"/>
      <w:numFmt w:val="lowerLetter"/>
      <w:start w:val="2"/>
    </w:lvl>
  </w:abstractNum>
  <w:abstractNum w:abstractNumId="100">
    <w:nsid w:val="5046B5A9"/>
    <w:multiLevelType w:val="hybridMultilevel"/>
    <w:lvl w:ilvl="0">
      <w:lvlJc w:val="left"/>
      <w:lvlText w:val="%1"/>
      <w:numFmt w:val="lowerRoman"/>
      <w:start w:val="1"/>
    </w:lvl>
    <w:lvl w:ilvl="1">
      <w:lvlJc w:val="left"/>
      <w:lvlText w:val="(%2)"/>
      <w:numFmt w:val="decimal"/>
      <w:start w:val="1"/>
    </w:lvl>
  </w:abstractNum>
  <w:abstractNum w:abstractNumId="101">
    <w:nsid w:val="5D888A08"/>
    <w:multiLevelType w:val="hybridMultilevel"/>
    <w:lvl w:ilvl="0">
      <w:lvlJc w:val="left"/>
      <w:lvlText w:val="(%1)"/>
      <w:numFmt w:val="lowerRoman"/>
      <w:start w:val="3"/>
    </w:lvl>
    <w:lvl w:ilvl="1">
      <w:lvlJc w:val="left"/>
      <w:lvlText w:val="(%2)"/>
      <w:numFmt w:val="decimal"/>
      <w:start w:val="4"/>
    </w:lvl>
  </w:abstractNum>
  <w:abstractNum w:abstractNumId="102">
    <w:nsid w:val="2A082C70"/>
    <w:multiLevelType w:val="hybridMultilevel"/>
    <w:lvl w:ilvl="0">
      <w:lvlJc w:val="left"/>
      <w:lvlText w:val="(%1)"/>
      <w:numFmt w:val="decimal"/>
      <w:start w:val="7"/>
    </w:lvl>
  </w:abstractNum>
  <w:abstractNum w:abstractNumId="103">
    <w:nsid w:val="5EC6AFD4"/>
    <w:multiLevelType w:val="hybridMultilevel"/>
    <w:lvl w:ilvl="0">
      <w:lvlJc w:val="left"/>
      <w:lvlText w:val="(%1)"/>
      <w:numFmt w:val="decimal"/>
      <w:start w:val="15"/>
    </w:lvl>
  </w:abstractNum>
  <w:abstractNum w:abstractNumId="104">
    <w:nsid w:val="19E21BB2"/>
    <w:multiLevelType w:val="hybridMultilevel"/>
    <w:lvl w:ilvl="0">
      <w:lvlJc w:val="left"/>
      <w:lvlText w:val="(%1)"/>
      <w:numFmt w:val="lowerRoman"/>
      <w:start w:val="2"/>
    </w:lvl>
  </w:abstractNum>
  <w:abstractNum w:abstractNumId="105">
    <w:nsid w:val="75E0858A"/>
    <w:multiLevelType w:val="hybridMultilevel"/>
    <w:lvl w:ilvl="0">
      <w:lvlJc w:val="left"/>
      <w:lvlText w:val="(%1)"/>
      <w:numFmt w:val="decimal"/>
      <w:start w:val="1"/>
    </w:lvl>
  </w:abstractNum>
  <w:abstractNum w:abstractNumId="106">
    <w:nsid w:val="57A61A29"/>
    <w:multiLevelType w:val="hybridMultilevel"/>
    <w:lvl w:ilvl="0">
      <w:lvlJc w:val="left"/>
      <w:lvlText w:val="(%1)"/>
      <w:numFmt w:val="decimal"/>
      <w:start w:val="1"/>
    </w:lvl>
  </w:abstractNum>
  <w:abstractNum w:abstractNumId="107">
    <w:nsid w:val="5399C6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8">
    <w:nsid w:val="20EE1348"/>
    <w:multiLevelType w:val="hybridMultilevel"/>
    <w:lvl w:ilvl="0">
      <w:lvlJc w:val="left"/>
      <w:lvlText w:val="(%1)"/>
      <w:numFmt w:val="lowerLetter"/>
      <w:start w:val="25"/>
    </w:lvl>
    <w:lvl w:ilvl="1">
      <w:lvlJc w:val="left"/>
      <w:lvlText w:val="(%2)"/>
      <w:numFmt w:val="decimal"/>
      <w:start w:val="2"/>
    </w:lvl>
  </w:abstractNum>
  <w:abstractNum w:abstractNumId="109">
    <w:nsid w:val="4427069A"/>
    <w:multiLevelType w:val="hybridMultilevel"/>
    <w:lvl w:ilvl="0">
      <w:lvlJc w:val="left"/>
      <w:lvlText w:val="(%1)"/>
      <w:numFmt w:val="decimal"/>
      <w:start w:val="1"/>
    </w:lvl>
  </w:abstractNum>
  <w:abstractNum w:abstractNumId="110">
    <w:nsid w:val="B37E80A"/>
    <w:multiLevelType w:val="hybridMultilevel"/>
    <w:lvl w:ilvl="0">
      <w:lvlJc w:val="left"/>
      <w:lvlText w:val="(%1)"/>
      <w:numFmt w:val="decimal"/>
      <w:start w:val="1"/>
    </w:lvl>
  </w:abstractNum>
  <w:abstractNum w:abstractNumId="111">
    <w:nsid w:val="2157F6B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12">
    <w:nsid w:val="704E1DD5"/>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abstractNum>
  <w:abstractNum w:abstractNumId="113">
    <w:nsid w:val="57D2F10E"/>
    <w:multiLevelType w:val="hybridMultilevel"/>
    <w:lvl w:ilvl="0">
      <w:lvlJc w:val="left"/>
      <w:lvlText w:val="(%1)"/>
      <w:numFmt w:val="lowerLetter"/>
      <w:start w:val="2"/>
    </w:lvl>
    <w:lvl w:ilvl="1">
      <w:lvlJc w:val="left"/>
      <w:lvlText w:val="(%2)"/>
      <w:numFmt w:val="lowerRoman"/>
      <w:start w:val="1"/>
    </w:lvl>
  </w:abstractNum>
  <w:abstractNum w:abstractNumId="114">
    <w:nsid w:val="BFFAE18"/>
    <w:multiLevelType w:val="hybridMultilevel"/>
    <w:lvl w:ilvl="0">
      <w:lvlJc w:val="left"/>
      <w:lvlText w:val="(%1)"/>
      <w:numFmt w:val="lowerLetter"/>
      <w:start w:val="5"/>
    </w:lvl>
  </w:abstractNum>
  <w:abstractNum w:abstractNumId="115">
    <w:nsid w:val="E3E47A8"/>
    <w:multiLevelType w:val="hybridMultilevel"/>
    <w:lvl w:ilvl="0">
      <w:lvlJc w:val="left"/>
      <w:lvlText w:val="(%1)"/>
      <w:numFmt w:val="lowerLetter"/>
      <w:start w:val="7"/>
    </w:lvl>
  </w:abstractNum>
  <w:abstractNum w:abstractNumId="116">
    <w:nsid w:val="2E48F044"/>
    <w:multiLevelType w:val="hybridMultilevel"/>
    <w:lvl w:ilvl="0">
      <w:lvlJc w:val="left"/>
      <w:lvlText w:val="(%1)"/>
      <w:numFmt w:val="decimal"/>
      <w:start w:val="1"/>
    </w:lvl>
  </w:abstractNum>
  <w:abstractNum w:abstractNumId="117">
    <w:nsid w:val="49D0FEAC"/>
    <w:multiLevelType w:val="hybridMultilevel"/>
    <w:lvl w:ilvl="0">
      <w:lvlJc w:val="left"/>
      <w:lvlText w:val="(%1)"/>
      <w:numFmt w:val="decimal"/>
      <w:start w:val="4"/>
    </w:lvl>
  </w:abstractNum>
  <w:abstractNum w:abstractNumId="118">
    <w:nsid w:val="4BEE5A5B"/>
    <w:multiLevelType w:val="hybridMultilevel"/>
    <w:lvl w:ilvl="0">
      <w:lvlJc w:val="left"/>
      <w:lvlText w:val="(%1)"/>
      <w:numFmt w:val="decimal"/>
      <w:start w:val="6"/>
    </w:lvl>
  </w:abstractNum>
  <w:abstractNum w:abstractNumId="119">
    <w:nsid w:val="5551B9F3"/>
    <w:multiLevelType w:val="hybridMultilevel"/>
    <w:lvl w:ilvl="0">
      <w:lvlJc w:val="left"/>
      <w:lvlText w:val="(%1)"/>
      <w:numFmt w:val="decimal"/>
      <w:start w:val="1"/>
    </w:lvl>
  </w:abstractNum>
  <w:abstractNum w:abstractNumId="120">
    <w:nsid w:val="24F6AB8E"/>
    <w:multiLevelType w:val="hybridMultilevel"/>
    <w:lvl w:ilvl="0">
      <w:lvlJc w:val="left"/>
      <w:lvlText w:val="(%1)"/>
      <w:numFmt w:val="decimal"/>
      <w:start w:val="2"/>
    </w:lvl>
  </w:abstractNum>
  <w:abstractNum w:abstractNumId="121">
    <w:nsid w:val="634C574C"/>
    <w:multiLevelType w:val="hybridMultilevel"/>
    <w:lvl w:ilvl="0">
      <w:lvlJc w:val="left"/>
      <w:lvlText w:val="(%1)"/>
      <w:numFmt w:val="decimal"/>
      <w:start w:val="1"/>
    </w:lvl>
  </w:abstractNum>
  <w:abstractNum w:abstractNumId="122">
    <w:nsid w:val="24E99DD7"/>
    <w:multiLevelType w:val="hybridMultilevel"/>
    <w:lvl w:ilvl="0">
      <w:lvlJc w:val="left"/>
      <w:lvlText w:val="(%1)"/>
      <w:numFmt w:val="decimal"/>
      <w:start w:val="1"/>
    </w:lvl>
  </w:abstractNum>
  <w:abstractNum w:abstractNumId="123">
    <w:nsid w:val="2A31B62D"/>
    <w:multiLevelType w:val="hybridMultilevel"/>
    <w:lvl w:ilvl="0">
      <w:lvlJc w:val="left"/>
      <w:lvlText w:val="(%1)"/>
      <w:numFmt w:val="decimal"/>
      <w:start w:val="1"/>
    </w:lvl>
  </w:abstractNum>
  <w:abstractNum w:abstractNumId="124">
    <w:nsid w:val="1849C29B"/>
    <w:multiLevelType w:val="hybridMultilevel"/>
    <w:lvl w:ilvl="0">
      <w:lvlJc w:val="left"/>
      <w:lvlText w:val="(%1)"/>
      <w:numFmt w:val="decimal"/>
      <w:start w:val="4"/>
    </w:lvl>
  </w:abstractNum>
  <w:abstractNum w:abstractNumId="125">
    <w:nsid w:val="7DFF9D09"/>
    <w:multiLevelType w:val="hybridMultilevel"/>
    <w:lvl w:ilvl="0">
      <w:lvlJc w:val="left"/>
      <w:lvlText w:val="(%1)"/>
      <w:numFmt w:val="decimal"/>
      <w:start w:val="1"/>
    </w:lvl>
  </w:abstractNum>
  <w:abstractNum w:abstractNumId="126">
    <w:nsid w:val="754342"/>
    <w:multiLevelType w:val="hybridMultilevel"/>
    <w:lvl w:ilvl="0">
      <w:lvlJc w:val="left"/>
      <w:lvlText w:val="(%1)"/>
      <w:numFmt w:val="decimal"/>
      <w:start w:val="1"/>
    </w:lvl>
  </w:abstractNum>
  <w:abstractNum w:abstractNumId="127">
    <w:nsid w:val="69E7F3E5"/>
    <w:multiLevelType w:val="hybridMultilevel"/>
    <w:lvl w:ilvl="0">
      <w:lvlJc w:val="left"/>
      <w:lvlText w:val="(%1)"/>
      <w:numFmt w:val="decimal"/>
      <w:start w:val="1"/>
    </w:lvl>
  </w:abstractNum>
  <w:abstractNum w:abstractNumId="128">
    <w:nsid w:val="2A6DE806"/>
    <w:multiLevelType w:val="hybridMultilevel"/>
    <w:lvl w:ilvl="0">
      <w:lvlJc w:val="left"/>
      <w:lvlText w:val="(%1)"/>
      <w:numFmt w:val="decimal"/>
      <w:start w:val="7"/>
    </w:lvl>
  </w:abstractNum>
  <w:abstractNum w:abstractNumId="129">
    <w:nsid w:val="1816F8C4"/>
    <w:multiLevelType w:val="hybridMultilevel"/>
    <w:lvl w:ilvl="0">
      <w:lvlJc w:val="left"/>
      <w:lvlText w:val="(%1)"/>
      <w:numFmt w:val="decimal"/>
      <w:start w:val="16"/>
    </w:lvl>
  </w:abstractNum>
  <w:abstractNum w:abstractNumId="130">
    <w:nsid w:val="37DF2233"/>
    <w:multiLevelType w:val="hybridMultilevel"/>
    <w:lvl w:ilvl="0">
      <w:lvlJc w:val="left"/>
      <w:lvlText w:val="(%1)"/>
      <w:numFmt w:val="decimal"/>
      <w:start w:val="1"/>
    </w:lvl>
  </w:abstractNum>
  <w:abstractNum w:abstractNumId="131">
    <w:nsid w:val="7AB49DAF"/>
    <w:multiLevelType w:val="hybridMultilevel"/>
    <w:lvl w:ilvl="0">
      <w:lvlJc w:val="left"/>
      <w:lvlText w:val="(%1)"/>
      <w:numFmt w:val="decimal"/>
      <w:start w:val="1"/>
    </w:lvl>
    <w:lvl w:ilvl="1">
      <w:lvlJc w:val="left"/>
      <w:lvlText w:val="(%2)"/>
      <w:numFmt w:val="lowerLetter"/>
      <w:start w:val="1"/>
    </w:lvl>
  </w:abstractNum>
  <w:abstractNum w:abstractNumId="132">
    <w:nsid w:val="759F82CD"/>
    <w:multiLevelType w:val="hybridMultilevel"/>
    <w:lvl w:ilvl="0">
      <w:lvlJc w:val="left"/>
      <w:lvlText w:val="(%1)"/>
      <w:numFmt w:val="lowerRoman"/>
      <w:start w:val="1"/>
    </w:lvl>
  </w:abstractNum>
  <w:abstractNum w:abstractNumId="133">
    <w:nsid w:val="61E74EA3"/>
    <w:multiLevelType w:val="hybridMultilevel"/>
    <w:lvl w:ilvl="0">
      <w:lvlJc w:val="left"/>
      <w:lvlText w:val="(%1)"/>
      <w:numFmt w:val="decimal"/>
      <w:start w:val="5"/>
    </w:lvl>
  </w:abstractNum>
  <w:abstractNum w:abstractNumId="134">
    <w:nsid w:val="597B4D84"/>
    <w:multiLevelType w:val="hybridMultilevel"/>
    <w:lvl w:ilvl="0">
      <w:lvlJc w:val="left"/>
      <w:lvlText w:val="(%1)"/>
      <w:numFmt w:val="decimal"/>
      <w:start w:val="1"/>
    </w:lvl>
  </w:abstractNum>
  <w:abstractNum w:abstractNumId="135">
    <w:nsid w:val="F819E7F"/>
    <w:multiLevelType w:val="hybridMultilevel"/>
    <w:lvl w:ilvl="0">
      <w:lvlJc w:val="left"/>
      <w:lvlText w:val="(%1)"/>
      <w:numFmt w:val="decimal"/>
      <w:start w:val="2"/>
    </w:lvl>
  </w:abstractNum>
  <w:abstractNum w:abstractNumId="136">
    <w:nsid w:val="57C7D42D"/>
    <w:multiLevelType w:val="hybridMultilevel"/>
    <w:lvl w:ilvl="0">
      <w:lvlJc w:val="left"/>
      <w:lvlText w:val="(%1)"/>
      <w:numFmt w:val="decimal"/>
      <w:start w:val="1"/>
    </w:lvl>
  </w:abstractNum>
  <w:abstractNum w:abstractNumId="137">
    <w:nsid w:val="312167AD"/>
    <w:multiLevelType w:val="hybridMultilevel"/>
    <w:lvl w:ilvl="0">
      <w:lvlJc w:val="left"/>
      <w:lvlText w:val="(%1)"/>
      <w:numFmt w:val="decimal"/>
      <w:start w:val="1"/>
    </w:lvl>
  </w:abstractNum>
  <w:abstractNum w:abstractNumId="138">
    <w:nsid w:val="631B64D4"/>
    <w:multiLevelType w:val="hybridMultilevel"/>
    <w:lvl w:ilvl="0">
      <w:lvlJc w:val="left"/>
      <w:lvlText w:val="(%1)"/>
      <w:numFmt w:val="decimal"/>
      <w:start w:val="1"/>
    </w:lvl>
  </w:abstractNum>
  <w:abstractNum w:abstractNumId="139">
    <w:nsid w:val="78B5E776"/>
    <w:multiLevelType w:val="hybridMultilevel"/>
    <w:lvl w:ilvl="0">
      <w:lvlJc w:val="left"/>
      <w:lvlText w:val="(%1)"/>
      <w:numFmt w:val="decimal"/>
      <w:start w:val="1"/>
    </w:lvl>
  </w:abstractNum>
  <w:abstractNum w:abstractNumId="140">
    <w:nsid w:val="75486E47"/>
    <w:multiLevelType w:val="hybridMultilevel"/>
    <w:lvl w:ilvl="0">
      <w:lvlJc w:val="left"/>
      <w:lvlText w:val="(%1)"/>
      <w:numFmt w:val="decimal"/>
      <w:start w:val="1"/>
    </w:lvl>
  </w:abstractNum>
  <w:abstractNum w:abstractNumId="141">
    <w:nsid w:val="6E534CDE"/>
    <w:multiLevelType w:val="hybridMultilevel"/>
    <w:lvl w:ilvl="0">
      <w:lvlJc w:val="left"/>
      <w:lvlText w:val="(%1)"/>
      <w:numFmt w:val="decimal"/>
      <w:start w:val="7"/>
    </w:lvl>
  </w:abstractNum>
  <w:abstractNum w:abstractNumId="142">
    <w:nsid w:val="1A0DDE32"/>
    <w:multiLevelType w:val="hybridMultilevel"/>
    <w:lvl w:ilvl="0">
      <w:lvlJc w:val="left"/>
      <w:lvlText w:val="(%1)"/>
      <w:numFmt w:val="decimal"/>
      <w:start w:val="1"/>
    </w:lvl>
  </w:abstractNum>
  <w:abstractNum w:abstractNumId="143">
    <w:nsid w:val="65968C1C"/>
    <w:multiLevelType w:val="hybridMultilevel"/>
    <w:lvl w:ilvl="0">
      <w:lvlJc w:val="left"/>
      <w:lvlText w:val="(%1)"/>
      <w:numFmt w:val="decimal"/>
      <w:start w:val="1"/>
    </w:lvl>
  </w:abstractNum>
  <w:abstractNum w:abstractNumId="144">
    <w:nsid w:val="46263DEC"/>
    <w:multiLevelType w:val="hybridMultilevel"/>
    <w:lvl w:ilvl="0">
      <w:lvlJc w:val="left"/>
      <w:lvlText w:val="(%1)"/>
      <w:numFmt w:val="decimal"/>
      <w:start w:val="1"/>
    </w:lvl>
  </w:abstractNum>
  <w:abstractNum w:abstractNumId="145">
    <w:nsid w:val="260D8C4A"/>
    <w:multiLevelType w:val="hybridMultilevel"/>
    <w:lvl w:ilvl="0">
      <w:lvlJc w:val="left"/>
      <w:lvlText w:val="(%1)"/>
      <w:numFmt w:val="decimal"/>
      <w:start w:val="1"/>
    </w:lvl>
  </w:abstractNum>
  <w:abstractNum w:abstractNumId="146">
    <w:nsid w:val="73D4D3C4"/>
    <w:multiLevelType w:val="hybridMultilevel"/>
    <w:lvl w:ilvl="0">
      <w:lvlJc w:val="left"/>
      <w:lvlText w:val="(%1)"/>
      <w:numFmt w:val="decimal"/>
      <w:start w:val="1"/>
    </w:lvl>
  </w:abstractNum>
  <w:abstractNum w:abstractNumId="147">
    <w:nsid w:val="746F2E30"/>
    <w:multiLevelType w:val="hybridMultilevel"/>
    <w:lvl w:ilvl="0">
      <w:lvlJc w:val="left"/>
      <w:lvlText w:val="(%1)"/>
      <w:numFmt w:val="decimal"/>
      <w:start w:val="2"/>
    </w:lvl>
  </w:abstractNum>
  <w:abstractNum w:abstractNumId="148">
    <w:nsid w:val="6FDE8AF6"/>
    <w:multiLevelType w:val="hybridMultilevel"/>
    <w:lvl w:ilvl="0">
      <w:lvlJc w:val="left"/>
      <w:lvlText w:val="(%1)"/>
      <w:numFmt w:val="decimal"/>
      <w:start w:val="1"/>
    </w:lvl>
  </w:abstractNum>
  <w:abstractNum w:abstractNumId="149">
    <w:nsid w:val="3FC32E20"/>
    <w:multiLevelType w:val="hybridMultilevel"/>
    <w:lvl w:ilvl="0">
      <w:lvlJc w:val="left"/>
      <w:lvlText w:val="(%1)"/>
      <w:numFmt w:val="lowerRoman"/>
      <w:start w:val="1"/>
    </w:lvl>
  </w:abstractNum>
  <w:abstractNum w:abstractNumId="150">
    <w:nsid w:val="49C0E823"/>
    <w:multiLevelType w:val="hybridMultilevel"/>
    <w:lvl w:ilvl="0">
      <w:lvlJc w:val="left"/>
      <w:lvlText w:val="(%1)"/>
      <w:numFmt w:val="lowerRoman"/>
      <w:start w:val="7"/>
    </w:lvl>
  </w:abstractNum>
  <w:abstractNum w:abstractNumId="151">
    <w:nsid w:val="14D53685"/>
    <w:multiLevelType w:val="hybridMultilevel"/>
    <w:lvl w:ilvl="0">
      <w:lvlJc w:val="left"/>
      <w:lvlText w:val="%1."/>
      <w:numFmt w:val="decimal"/>
      <w:start w:val="1"/>
    </w:lvl>
  </w:abstractNum>
  <w:abstractNum w:abstractNumId="152">
    <w:nsid w:val="230F856C"/>
    <w:multiLevelType w:val="hybridMultilevel"/>
    <w:lvl w:ilvl="0">
      <w:lvlJc w:val="left"/>
      <w:lvlText w:val="%1."/>
      <w:numFmt w:val="decimal"/>
      <w:start w:val="2"/>
    </w:lvl>
  </w:abstractNum>
  <w:abstractNum w:abstractNumId="153">
    <w:nsid w:val="6EAA85FB"/>
    <w:multiLevelType w:val="hybridMultilevel"/>
    <w:lvl w:ilvl="0">
      <w:lvlJc w:val="left"/>
      <w:lvlText w:val="%1."/>
      <w:numFmt w:val="decimal"/>
      <w:start w:val="7"/>
    </w:lvl>
  </w:abstractNum>
  <w:abstractNum w:abstractNumId="154">
    <w:nsid w:val="3F06E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jpe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jpeg"/><Relationship Id="rId85" Type="http://schemas.openxmlformats.org/officeDocument/2006/relationships/image" Target="media/image67.png"/><Relationship Id="rId86"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jpeg"/><Relationship Id="rId232" Type="http://schemas.openxmlformats.org/officeDocument/2006/relationships/image" Target="media/image207.png"/><Relationship Id="rId233" Type="http://schemas.openxmlformats.org/officeDocument/2006/relationships/image" Target="media/image208.jpeg"/><Relationship Id="rId234" Type="http://schemas.openxmlformats.org/officeDocument/2006/relationships/image" Target="media/image209.png"/><Relationship Id="rId235" Type="http://schemas.openxmlformats.org/officeDocument/2006/relationships/image" Target="media/image210.jpeg"/><Relationship Id="rId236" Type="http://schemas.openxmlformats.org/officeDocument/2006/relationships/image" Target="media/image211.png"/><Relationship Id="rId237" Type="http://schemas.openxmlformats.org/officeDocument/2006/relationships/image" Target="media/image212.jpeg"/><Relationship Id="rId238" Type="http://schemas.openxmlformats.org/officeDocument/2006/relationships/image" Target="media/image213.png"/><Relationship Id="rId239" Type="http://schemas.openxmlformats.org/officeDocument/2006/relationships/image" Target="media/image214.jpe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49" Type="http://schemas.openxmlformats.org/officeDocument/2006/relationships/hyperlink" Target="https://www.sec.gov/ix?doc=/Archives/edgar/data/0001832483/000183248326000010/patr-20251231.htm" TargetMode="External"/><Relationship Id="rId50" Type="http://schemas.openxmlformats.org/officeDocument/2006/relationships/hyperlink" Target="http://www.sec.gov/ix?doc=/Archives/edgar/data/0001832483/000114036126016694/ny20064047x1_def14a.htm" TargetMode="External"/><Relationship Id="rId51" Type="http://schemas.openxmlformats.org/officeDocument/2006/relationships/hyperlink" Target="http://www.sec.gov/ix?doc=/Archives/edgar/data/1832483/000183248326000019/serv-20260331.htm" TargetMode="External"/><Relationship Id="rId52" Type="http://schemas.openxmlformats.org/officeDocument/2006/relationships/hyperlink" Target="https://www.sec.gov/ix?doc=/Archives/edgar/data/0001832483/000121390026005920/ea0273454-8k_serve.htm" TargetMode="External"/><Relationship Id="rId53" Type="http://schemas.openxmlformats.org/officeDocument/2006/relationships/hyperlink" Target="https://www.sec.gov/ix?doc=/Archives/edgar/data/0001832483/000121390026009480/ea0274698-8k_serve.htm" TargetMode="External"/><Relationship Id="rId54" Type="http://schemas.openxmlformats.org/officeDocument/2006/relationships/hyperlink" Target="https://www.sec.gov/ix?doc=/Archives/edgar/data/0001832483/000121390026043149/ea0283053-8ka1_serve.htm" TargetMode="External"/><Relationship Id="rId55" Type="http://schemas.openxmlformats.org/officeDocument/2006/relationships/hyperlink" Target="https://www.sec.gov/ix?doc=/Archives/edgar/data/0001832483/000121390026018806/ea0277713-8k_serve.htm" TargetMode="External"/><Relationship Id="rId56" Type="http://schemas.openxmlformats.org/officeDocument/2006/relationships/hyperlink" Target="https://www.sec.gov/ix?doc=/Archives/edgar/data/1832483/000121390026054200/ea028960901-8k_serve.htm" TargetMode="External"/><Relationship Id="rId57" Type="http://schemas.openxmlformats.org/officeDocument/2006/relationships/hyperlink" Target="https://www.sec.gov/ix?doc=/Archives/edgar/data/0001832483/000121390024018566/ea0200355-10k_serverobot.htm" TargetMode="External"/><Relationship Id="rId63" Type="http://schemas.openxmlformats.org/officeDocument/2006/relationships/hyperlink" Target="http://www.sec.gov/ix?doc=/Archives/edgar/data/0001832483/000183248326000010/patr-20251231.htm" TargetMode="External"/><Relationship Id="rId64" Type="http://schemas.openxmlformats.org/officeDocument/2006/relationships/hyperlink" Target="http://www.sec.gov/Archives/edgar/data/1832483/000121390024018566/ea0200355ex4-8_serverobot.htm" TargetMode="External"/><Relationship Id="rId87" Type="http://schemas.openxmlformats.org/officeDocument/2006/relationships/hyperlink" Target="https://www.sec.gov/Archives/edgar/data/1832483/000121390026018806/ea027771301ex2-1_serve.htm" TargetMode="External"/><Relationship Id="rId88" Type="http://schemas.openxmlformats.org/officeDocument/2006/relationships/hyperlink" Target="https://www.sec.gov/Archives/edgar/data/1832483/000121390026005920/ea027345401ex2-1_serve.htm" TargetMode="External"/><Relationship Id="rId89" Type="http://schemas.openxmlformats.org/officeDocument/2006/relationships/hyperlink" Target="http://www.sec.gov/Archives/edgar/data/1832483/000121390023063662/ea180762ex3-2_patriciaacq.htm" TargetMode="External"/><Relationship Id="rId90" Type="http://schemas.openxmlformats.org/officeDocument/2006/relationships/hyperlink" Target="http://www.sec.gov/Archives/edgar/data/1832483/000121390023063662/ea180762ex3-3_patriciaacq.htm" TargetMode="External"/><Relationship Id="rId91" Type="http://schemas.openxmlformats.org/officeDocument/2006/relationships/hyperlink" Target="http://www.sec.gov/Archives/edgar/data/1832483/000121390024073390/ea021263601ex10-5_serve.htm" TargetMode="External"/><Relationship Id="rId92" Type="http://schemas.openxmlformats.org/officeDocument/2006/relationships/hyperlink" Target="http://www.sec.gov/Archives/edgar/data/1832483/000121390025077711/ea025321401ex4-1_serverobo.htm" TargetMode="External"/><Relationship Id="rId93" Type="http://schemas.openxmlformats.org/officeDocument/2006/relationships/hyperlink" Target="http://www.sec.gov/Archives/edgar/data/1832483/000183248326000010/a211-subsidiariesofthe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2026-05-11T07:32:57Z</dcterms:created>
  <dcterms:modified xsi:type="dcterms:W3CDTF">2026-05-11T07:32:57Z</dcterms:modified>
</cp:coreProperties>
</file>